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9" w:rsidRDefault="00591459" w:rsidP="00591459">
      <w:pPr>
        <w:spacing w:line="360" w:lineRule="auto"/>
        <w:jc w:val="center"/>
        <w:outlineLvl w:val="1"/>
        <w:rPr>
          <w:rFonts w:asciiTheme="minorEastAsia" w:eastAsiaTheme="minorEastAsia" w:hAnsiTheme="minorEastAsia" w:hint="eastAsia"/>
          <w:b/>
          <w:sz w:val="28"/>
        </w:rPr>
      </w:pPr>
      <w:bookmarkStart w:id="0" w:name="_Toc80618880"/>
      <w:r>
        <w:rPr>
          <w:rFonts w:asciiTheme="minorEastAsia" w:eastAsiaTheme="minorEastAsia" w:hAnsiTheme="minorEastAsia" w:hint="eastAsia"/>
          <w:b/>
          <w:sz w:val="28"/>
        </w:rPr>
        <w:t>采购需求</w:t>
      </w:r>
      <w:bookmarkEnd w:id="0"/>
    </w:p>
    <w:p w:rsidR="00591459" w:rsidRPr="00591459" w:rsidRDefault="00591459" w:rsidP="00591459">
      <w:pPr>
        <w:spacing w:line="360" w:lineRule="auto"/>
        <w:jc w:val="center"/>
        <w:outlineLvl w:val="1"/>
        <w:rPr>
          <w:rFonts w:asciiTheme="minorEastAsia" w:eastAsiaTheme="minorEastAsia" w:hAnsiTheme="minorEastAsia"/>
          <w:b/>
          <w:color w:val="FF0000"/>
          <w:sz w:val="28"/>
        </w:rPr>
      </w:pPr>
      <w:bookmarkStart w:id="1" w:name="_GoBack"/>
      <w:r w:rsidRPr="00591459">
        <w:rPr>
          <w:rFonts w:asciiTheme="minorEastAsia" w:eastAsiaTheme="minorEastAsia" w:hAnsiTheme="minorEastAsia" w:hint="eastAsia"/>
          <w:b/>
          <w:color w:val="FF0000"/>
          <w:sz w:val="28"/>
        </w:rPr>
        <w:t>（</w:t>
      </w:r>
      <w:proofErr w:type="gramStart"/>
      <w:r w:rsidRPr="00591459">
        <w:rPr>
          <w:rFonts w:asciiTheme="minorEastAsia" w:eastAsiaTheme="minorEastAsia" w:hAnsiTheme="minorEastAsia" w:hint="eastAsia"/>
          <w:b/>
          <w:color w:val="FF0000"/>
          <w:sz w:val="28"/>
        </w:rPr>
        <w:t>本需求</w:t>
      </w:r>
      <w:proofErr w:type="gramEnd"/>
      <w:r w:rsidRPr="00591459">
        <w:rPr>
          <w:rFonts w:asciiTheme="minorEastAsia" w:eastAsiaTheme="minorEastAsia" w:hAnsiTheme="minorEastAsia" w:hint="eastAsia"/>
          <w:b/>
          <w:color w:val="FF0000"/>
          <w:sz w:val="28"/>
        </w:rPr>
        <w:t>仅供参考，具体以招标文件为准）</w:t>
      </w:r>
    </w:p>
    <w:bookmarkEnd w:id="1"/>
    <w:p w:rsidR="00591459" w:rsidRDefault="00591459" w:rsidP="00591459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前注：</w:t>
      </w:r>
    </w:p>
    <w:p w:rsidR="00591459" w:rsidRDefault="00591459" w:rsidP="00591459">
      <w:pPr>
        <w:spacing w:line="360" w:lineRule="auto"/>
        <w:ind w:firstLine="435"/>
        <w:rPr>
          <w:rFonts w:ascii="宋体" w:eastAsia="宋体" w:hAnsi="宋体"/>
          <w:sz w:val="24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="宋体" w:eastAsia="宋体" w:hAnsi="宋体"/>
          <w:sz w:val="24"/>
          <w:szCs w:val="18"/>
        </w:rPr>
        <w:t>下列采购需求中</w:t>
      </w:r>
      <w:r>
        <w:rPr>
          <w:rFonts w:ascii="宋体" w:eastAsia="宋体" w:hAnsi="宋体" w:hint="eastAsia"/>
          <w:sz w:val="24"/>
          <w:szCs w:val="18"/>
        </w:rPr>
        <w:t>标注进口产品的货物均</w:t>
      </w:r>
      <w:r>
        <w:rPr>
          <w:rFonts w:ascii="宋体" w:eastAsia="宋体" w:hAnsi="宋体"/>
          <w:sz w:val="24"/>
          <w:szCs w:val="18"/>
        </w:rPr>
        <w:t>已履行相关论证手续，经核准采购进口</w:t>
      </w:r>
      <w:r>
        <w:rPr>
          <w:rFonts w:ascii="宋体" w:eastAsia="宋体" w:hAnsi="宋体" w:hint="eastAsia"/>
          <w:sz w:val="24"/>
          <w:szCs w:val="18"/>
        </w:rPr>
        <w:t>产品</w:t>
      </w:r>
      <w:r>
        <w:rPr>
          <w:rFonts w:ascii="宋体" w:eastAsia="宋体" w:hAnsi="宋体"/>
          <w:sz w:val="24"/>
          <w:szCs w:val="18"/>
        </w:rPr>
        <w:t>，但不限制满足招标文件要求的国内产品参与竞争</w:t>
      </w:r>
      <w:r>
        <w:rPr>
          <w:rFonts w:ascii="宋体" w:eastAsia="宋体" w:hAnsi="宋体" w:hint="eastAsia"/>
          <w:sz w:val="24"/>
          <w:szCs w:val="18"/>
        </w:rPr>
        <w:t>。未标注进口产品的货物均</w:t>
      </w:r>
      <w:r>
        <w:rPr>
          <w:rFonts w:ascii="宋体" w:eastAsia="宋体" w:hAnsi="宋体"/>
          <w:sz w:val="24"/>
          <w:szCs w:val="18"/>
        </w:rPr>
        <w:t>为拒绝采购进口产品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591459" w:rsidRDefault="00591459" w:rsidP="00591459">
      <w:pPr>
        <w:spacing w:line="360" w:lineRule="auto"/>
        <w:ind w:firstLine="435"/>
        <w:rPr>
          <w:rFonts w:ascii="宋体" w:eastAsia="宋体" w:hAnsi="宋体"/>
          <w:sz w:val="24"/>
          <w:szCs w:val="18"/>
        </w:rPr>
      </w:pPr>
      <w:r>
        <w:rPr>
          <w:rFonts w:ascii="宋体" w:eastAsia="宋体" w:hAnsi="宋体" w:hint="eastAsia"/>
          <w:sz w:val="24"/>
          <w:szCs w:val="18"/>
        </w:rPr>
        <w:t>2.</w:t>
      </w:r>
      <w:r>
        <w:rPr>
          <w:rFonts w:ascii="宋体" w:eastAsia="宋体" w:hAnsi="宋体"/>
          <w:sz w:val="24"/>
          <w:szCs w:val="18"/>
        </w:rPr>
        <w:t>下列采购需求中：标注▲的产品</w:t>
      </w:r>
      <w:r>
        <w:rPr>
          <w:rFonts w:ascii="宋体" w:eastAsia="宋体" w:hAnsi="宋体" w:hint="eastAsia"/>
          <w:sz w:val="24"/>
          <w:szCs w:val="18"/>
        </w:rPr>
        <w:t>（核心产品）</w:t>
      </w:r>
      <w:r>
        <w:rPr>
          <w:rFonts w:ascii="宋体" w:eastAsia="宋体" w:hAnsi="宋体"/>
          <w:sz w:val="24"/>
          <w:szCs w:val="18"/>
        </w:rPr>
        <w:t>，投标</w:t>
      </w:r>
      <w:r>
        <w:rPr>
          <w:rFonts w:ascii="宋体" w:eastAsia="宋体" w:hAnsi="宋体" w:hint="eastAsia"/>
          <w:sz w:val="24"/>
          <w:szCs w:val="18"/>
        </w:rPr>
        <w:t>人</w:t>
      </w:r>
      <w:r>
        <w:rPr>
          <w:rFonts w:ascii="宋体" w:eastAsia="宋体" w:hAnsi="宋体"/>
          <w:sz w:val="24"/>
          <w:szCs w:val="18"/>
        </w:rPr>
        <w:t>在投标文件《主要</w:t>
      </w:r>
      <w:r>
        <w:rPr>
          <w:rFonts w:ascii="宋体" w:eastAsia="宋体" w:hAnsi="宋体" w:hint="eastAsia"/>
          <w:sz w:val="24"/>
          <w:szCs w:val="18"/>
        </w:rPr>
        <w:t>中标</w:t>
      </w:r>
      <w:r>
        <w:rPr>
          <w:rFonts w:ascii="宋体" w:eastAsia="宋体" w:hAnsi="宋体"/>
          <w:sz w:val="24"/>
          <w:szCs w:val="18"/>
        </w:rPr>
        <w:t>标的承诺函》中填写名称、</w:t>
      </w:r>
      <w:r>
        <w:rPr>
          <w:rFonts w:ascii="宋体" w:eastAsia="宋体" w:hAnsi="宋体" w:hint="eastAsia"/>
          <w:sz w:val="24"/>
          <w:szCs w:val="18"/>
        </w:rPr>
        <w:t>品牌、</w:t>
      </w:r>
      <w:r>
        <w:rPr>
          <w:rFonts w:ascii="宋体" w:eastAsia="宋体" w:hAnsi="宋体"/>
          <w:sz w:val="24"/>
          <w:szCs w:val="18"/>
        </w:rPr>
        <w:t>数量、单价等信息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591459" w:rsidRDefault="00591459" w:rsidP="00591459">
      <w:pPr>
        <w:spacing w:line="360" w:lineRule="auto"/>
        <w:ind w:firstLine="435"/>
        <w:rPr>
          <w:rFonts w:ascii="宋体" w:eastAsia="宋体" w:hAnsi="宋体"/>
          <w:b/>
          <w:sz w:val="24"/>
          <w:szCs w:val="18"/>
        </w:rPr>
      </w:pPr>
      <w:r>
        <w:rPr>
          <w:rFonts w:ascii="宋体" w:eastAsia="宋体" w:hAnsi="宋体" w:hint="eastAsia"/>
          <w:b/>
          <w:sz w:val="24"/>
          <w:szCs w:val="18"/>
        </w:rPr>
        <w:t>3</w:t>
      </w:r>
      <w:r>
        <w:rPr>
          <w:rFonts w:ascii="宋体" w:eastAsia="宋体" w:hAnsi="宋体"/>
          <w:b/>
          <w:sz w:val="24"/>
          <w:szCs w:val="18"/>
        </w:rPr>
        <w:t>.所投医疗器械须具有医疗器械注册证，投标文件中须提供完整的证书扫描件，否则投标无效。</w:t>
      </w:r>
    </w:p>
    <w:p w:rsidR="00591459" w:rsidRPr="008913A5" w:rsidRDefault="00591459" w:rsidP="00591459">
      <w:pPr>
        <w:spacing w:line="360" w:lineRule="auto"/>
        <w:ind w:firstLine="435"/>
        <w:rPr>
          <w:rFonts w:asciiTheme="minorEastAsia" w:eastAsiaTheme="minorEastAsia" w:hAnsiTheme="minorEastAsia"/>
          <w:b/>
          <w:sz w:val="24"/>
          <w:szCs w:val="28"/>
        </w:rPr>
      </w:pPr>
      <w:r w:rsidRPr="008913A5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8913A5">
        <w:rPr>
          <w:rFonts w:asciiTheme="minorEastAsia" w:eastAsiaTheme="minorEastAsia" w:hAnsiTheme="minorEastAsia"/>
          <w:b/>
          <w:sz w:val="24"/>
          <w:szCs w:val="24"/>
        </w:rPr>
        <w:t>.</w:t>
      </w:r>
      <w:r w:rsidRPr="008913A5">
        <w:rPr>
          <w:rFonts w:asciiTheme="minorEastAsia" w:eastAsiaTheme="minorEastAsia" w:hAnsiTheme="minorEastAsia" w:hint="eastAsia"/>
          <w:b/>
          <w:sz w:val="24"/>
          <w:szCs w:val="24"/>
        </w:rPr>
        <w:t>下述“二、货物需求”中标注“★”条款为主要条款，</w:t>
      </w:r>
      <w:r w:rsidRPr="008913A5">
        <w:rPr>
          <w:rFonts w:asciiTheme="minorEastAsia" w:eastAsiaTheme="minorEastAsia" w:hAnsiTheme="minorEastAsia" w:hint="eastAsia"/>
          <w:b/>
          <w:sz w:val="24"/>
          <w:szCs w:val="28"/>
        </w:rPr>
        <w:t>投标文件中提供能反映“★”条款要求的相关证明材料扫描件(证明材料包括：医疗器械注册证、第三方有权机构出具的检验或检测报告、技术彩页、</w:t>
      </w:r>
      <w:r w:rsidRPr="008913A5">
        <w:rPr>
          <w:rFonts w:asciiTheme="minorEastAsia" w:eastAsiaTheme="minorEastAsia" w:hAnsiTheme="minorEastAsia" w:hint="eastAsia"/>
          <w:b/>
          <w:sz w:val="24"/>
          <w:szCs w:val="24"/>
        </w:rPr>
        <w:t>技术白皮书、</w:t>
      </w:r>
      <w:proofErr w:type="gramStart"/>
      <w:r w:rsidRPr="008913A5">
        <w:rPr>
          <w:rFonts w:asciiTheme="minorEastAsia" w:eastAsiaTheme="minorEastAsia" w:hAnsiTheme="minorEastAsia" w:hint="eastAsia"/>
          <w:b/>
          <w:sz w:val="24"/>
          <w:szCs w:val="28"/>
        </w:rPr>
        <w:t>官网截</w:t>
      </w:r>
      <w:proofErr w:type="gramEnd"/>
      <w:r w:rsidRPr="008913A5">
        <w:rPr>
          <w:rFonts w:asciiTheme="minorEastAsia" w:eastAsiaTheme="minorEastAsia" w:hAnsiTheme="minorEastAsia" w:hint="eastAsia"/>
          <w:b/>
          <w:sz w:val="24"/>
          <w:szCs w:val="28"/>
        </w:rPr>
        <w:t>图等,提供其中之一即可)，如未提供，相应条款视为负偏离，按评标方法中要求扣除相应分值。为方便评审，请投标人在投标文件中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提供</w:t>
      </w:r>
      <w:r w:rsidRPr="008913A5">
        <w:rPr>
          <w:rFonts w:asciiTheme="minorEastAsia" w:eastAsiaTheme="minorEastAsia" w:hAnsiTheme="minorEastAsia" w:hint="eastAsia"/>
          <w:b/>
          <w:sz w:val="24"/>
          <w:szCs w:val="28"/>
        </w:rPr>
        <w:t>证明材料所在页码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索引表（格式自拟）</w:t>
      </w:r>
      <w:r w:rsidRPr="008913A5">
        <w:rPr>
          <w:rFonts w:asciiTheme="minorEastAsia" w:eastAsiaTheme="minorEastAsia" w:hAnsiTheme="minorEastAsia" w:hint="eastAsia"/>
          <w:b/>
          <w:sz w:val="24"/>
          <w:szCs w:val="28"/>
        </w:rPr>
        <w:t>。</w:t>
      </w:r>
    </w:p>
    <w:p w:rsidR="00591459" w:rsidRDefault="00591459" w:rsidP="00591459">
      <w:pPr>
        <w:spacing w:line="360" w:lineRule="auto"/>
        <w:ind w:firstLine="437"/>
        <w:rPr>
          <w:rFonts w:ascii="宋体" w:eastAsia="宋体" w:hAnsi="宋体"/>
          <w:b/>
          <w:sz w:val="24"/>
          <w:szCs w:val="18"/>
        </w:rPr>
      </w:pPr>
      <w:r>
        <w:rPr>
          <w:rFonts w:ascii="宋体" w:eastAsia="宋体" w:hAnsi="宋体" w:hint="eastAsia"/>
          <w:b/>
          <w:sz w:val="24"/>
          <w:szCs w:val="18"/>
        </w:rPr>
        <w:t>一、采购需求前附表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32"/>
        <w:gridCol w:w="5483"/>
      </w:tblGrid>
      <w:tr w:rsidR="00591459" w:rsidRPr="00864AF4" w:rsidTr="001F37B2">
        <w:trPr>
          <w:trHeight w:val="502"/>
          <w:jc w:val="center"/>
        </w:trPr>
        <w:tc>
          <w:tcPr>
            <w:tcW w:w="591" w:type="pct"/>
            <w:vAlign w:val="center"/>
          </w:tcPr>
          <w:p w:rsidR="00591459" w:rsidRPr="00864AF4" w:rsidRDefault="00591459" w:rsidP="001F37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2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条款名称</w:t>
            </w:r>
          </w:p>
        </w:tc>
        <w:tc>
          <w:tcPr>
            <w:tcW w:w="3217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内容、说明与要求</w:t>
            </w:r>
          </w:p>
        </w:tc>
      </w:tr>
      <w:tr w:rsidR="00591459" w:rsidRPr="00864AF4" w:rsidTr="001F37B2">
        <w:trPr>
          <w:trHeight w:val="502"/>
          <w:jc w:val="center"/>
        </w:trPr>
        <w:tc>
          <w:tcPr>
            <w:tcW w:w="591" w:type="pct"/>
            <w:vAlign w:val="center"/>
          </w:tcPr>
          <w:p w:rsidR="00591459" w:rsidRPr="00864AF4" w:rsidRDefault="00591459" w:rsidP="001F37B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92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3217" w:type="pct"/>
            <w:vAlign w:val="center"/>
          </w:tcPr>
          <w:p w:rsidR="00591459" w:rsidRPr="00864AF4" w:rsidRDefault="00591459" w:rsidP="001F37B2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  <w:u w:val="single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 xml:space="preserve">安装验收合格后支付合同款的90%，质保期满后支付剩余合同款的10%。 </w:t>
            </w:r>
          </w:p>
        </w:tc>
      </w:tr>
      <w:tr w:rsidR="00591459" w:rsidRPr="00864AF4" w:rsidTr="001F37B2">
        <w:trPr>
          <w:trHeight w:val="502"/>
          <w:jc w:val="center"/>
        </w:trPr>
        <w:tc>
          <w:tcPr>
            <w:tcW w:w="591" w:type="pct"/>
            <w:vAlign w:val="center"/>
          </w:tcPr>
          <w:p w:rsidR="00591459" w:rsidRPr="00864AF4" w:rsidRDefault="00591459" w:rsidP="001F37B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92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供货及安装地点</w:t>
            </w:r>
          </w:p>
        </w:tc>
        <w:tc>
          <w:tcPr>
            <w:tcW w:w="3217" w:type="pct"/>
            <w:vAlign w:val="center"/>
          </w:tcPr>
          <w:p w:rsidR="00591459" w:rsidRPr="00864AF4" w:rsidRDefault="00591459" w:rsidP="001F37B2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>中国科学技术大学</w:t>
            </w: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>校医院</w:t>
            </w: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 xml:space="preserve">，采购人指定地点  </w:t>
            </w:r>
          </w:p>
        </w:tc>
      </w:tr>
      <w:tr w:rsidR="00591459" w:rsidRPr="00864AF4" w:rsidTr="001F37B2">
        <w:trPr>
          <w:trHeight w:val="502"/>
          <w:jc w:val="center"/>
        </w:trPr>
        <w:tc>
          <w:tcPr>
            <w:tcW w:w="591" w:type="pct"/>
            <w:vAlign w:val="center"/>
          </w:tcPr>
          <w:p w:rsidR="00591459" w:rsidRPr="00864AF4" w:rsidRDefault="00591459" w:rsidP="001F37B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92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供货及安装期限</w:t>
            </w:r>
          </w:p>
        </w:tc>
        <w:tc>
          <w:tcPr>
            <w:tcW w:w="3217" w:type="pct"/>
            <w:vAlign w:val="center"/>
          </w:tcPr>
          <w:p w:rsidR="00591459" w:rsidRPr="00864AF4" w:rsidRDefault="00591459" w:rsidP="001F37B2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合同生效后</w:t>
            </w: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 xml:space="preserve"> 30天内供货安装完成    </w:t>
            </w:r>
          </w:p>
        </w:tc>
      </w:tr>
      <w:tr w:rsidR="00591459" w:rsidRPr="00864AF4" w:rsidTr="001F37B2">
        <w:trPr>
          <w:trHeight w:val="502"/>
          <w:jc w:val="center"/>
        </w:trPr>
        <w:tc>
          <w:tcPr>
            <w:tcW w:w="591" w:type="pct"/>
            <w:vAlign w:val="center"/>
          </w:tcPr>
          <w:p w:rsidR="00591459" w:rsidRPr="00864AF4" w:rsidRDefault="00591459" w:rsidP="001F37B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92" w:type="pct"/>
            <w:vAlign w:val="center"/>
          </w:tcPr>
          <w:p w:rsidR="00591459" w:rsidRPr="00864AF4" w:rsidRDefault="00591459" w:rsidP="001F37B2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 w:rsidR="00591459" w:rsidRPr="00864AF4" w:rsidRDefault="00591459" w:rsidP="001F37B2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验收合格之日起</w:t>
            </w:r>
            <w:r w:rsidRPr="00864AF4">
              <w:rPr>
                <w:rFonts w:ascii="宋体" w:eastAsia="宋体" w:hAnsi="宋体" w:hint="eastAsia"/>
                <w:bCs/>
                <w:kern w:val="0"/>
                <w:sz w:val="24"/>
                <w:szCs w:val="24"/>
                <w:u w:val="single"/>
              </w:rPr>
              <w:t xml:space="preserve">  3年            </w:t>
            </w:r>
          </w:p>
        </w:tc>
      </w:tr>
    </w:tbl>
    <w:p w:rsidR="00591459" w:rsidRDefault="00591459" w:rsidP="00591459">
      <w:pPr>
        <w:spacing w:beforeLines="50" w:before="156" w:line="360" w:lineRule="auto"/>
        <w:ind w:firstLine="437"/>
        <w:rPr>
          <w:rFonts w:ascii="宋体" w:eastAsia="宋体" w:hAnsi="宋体"/>
          <w:b/>
          <w:bCs/>
          <w:sz w:val="24"/>
          <w:szCs w:val="18"/>
        </w:rPr>
      </w:pPr>
      <w:r>
        <w:rPr>
          <w:rFonts w:ascii="宋体" w:eastAsia="宋体" w:hAnsi="宋体" w:hint="eastAsia"/>
          <w:b/>
          <w:bCs/>
          <w:sz w:val="24"/>
          <w:szCs w:val="18"/>
        </w:rPr>
        <w:t>二、货物需求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7"/>
        <w:gridCol w:w="4537"/>
        <w:gridCol w:w="992"/>
        <w:gridCol w:w="900"/>
      </w:tblGrid>
      <w:tr w:rsidR="00591459" w:rsidRPr="006A636E" w:rsidTr="001F37B2">
        <w:trPr>
          <w:jc w:val="center"/>
        </w:trPr>
        <w:tc>
          <w:tcPr>
            <w:tcW w:w="479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9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2662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技术参数及要求</w:t>
            </w:r>
          </w:p>
        </w:tc>
        <w:tc>
          <w:tcPr>
            <w:tcW w:w="582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（单位）</w:t>
            </w:r>
          </w:p>
        </w:tc>
        <w:tc>
          <w:tcPr>
            <w:tcW w:w="528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所属</w:t>
            </w:r>
          </w:p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行业</w:t>
            </w:r>
          </w:p>
        </w:tc>
      </w:tr>
      <w:tr w:rsidR="00591459" w:rsidRPr="006A636E" w:rsidTr="001F37B2">
        <w:trPr>
          <w:trHeight w:val="249"/>
          <w:jc w:val="center"/>
        </w:trPr>
        <w:tc>
          <w:tcPr>
            <w:tcW w:w="479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749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/>
                <w:sz w:val="24"/>
                <w:szCs w:val="24"/>
              </w:rPr>
              <w:t>▲</w:t>
            </w:r>
            <w:r w:rsidRPr="006A636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强脉冲</w:t>
            </w:r>
            <w:proofErr w:type="gramStart"/>
            <w:r w:rsidRPr="006A636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光治疗</w:t>
            </w:r>
            <w:proofErr w:type="gramEnd"/>
            <w:r w:rsidRPr="006A636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仪</w:t>
            </w:r>
          </w:p>
        </w:tc>
        <w:tc>
          <w:tcPr>
            <w:tcW w:w="2662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lastRenderedPageBreak/>
              <w:t>1、适用范围：用于改善皮肤外观治疗、血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lastRenderedPageBreak/>
              <w:t>管性疾病、皮肤浅表的色素性疾病及减少毛发的治疗。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2、光源：原装进口氙灯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3、聚光反射器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  <w:lang w:val="zh-CN"/>
              </w:rPr>
              <w:t>：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特殊工艺，金属镀银，高反射率。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4、皮肤接触晶体：蓝宝石导光晶体</w:t>
            </w:r>
          </w:p>
          <w:p w:rsidR="00591459" w:rsidRPr="006A636E" w:rsidRDefault="00591459" w:rsidP="001F37B2">
            <w:pPr>
              <w:spacing w:line="360" w:lineRule="auto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★5、</w:t>
            </w:r>
            <w:r w:rsidRPr="006A636E">
              <w:rPr>
                <w:rFonts w:ascii="新宋体" w:eastAsia="新宋体" w:hAnsi="新宋体" w:cs="新宋体" w:hint="eastAsia"/>
                <w:sz w:val="24"/>
                <w:szCs w:val="24"/>
              </w:rPr>
              <w:t>单头设计，搭配7个不同波长的滤光片（420-1200nm、515-1200nm、560-1200nm、590-1200nm、615-1200nm、640-1200nm、690-1200nm）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以及用于能量校准检测的滤光片,共计8</w:t>
            </w:r>
            <w:r w:rsidRPr="006A636E"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6、能量密度：10～40J/cm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  <w:vertAlign w:val="superscript"/>
              </w:rPr>
              <w:t>2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 xml:space="preserve"> ，步长1 J/cm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  <w:vertAlign w:val="superscript"/>
              </w:rPr>
              <w:t>2</w:t>
            </w:r>
            <w:r w:rsidRPr="006A636E"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7、脉冲输出方式：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</w:rPr>
              <w:t>①单脉冲、双脉冲、三脉冲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等多种输出方式任意可选;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②可组合搭配脉冲串总宽度≥1000ms;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8、脉冲宽度：2～20ms,步长0.5ms，任意可设；子脉冲宽度可单独设定；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9、脉冲间隔:5～150ms,任意可设；子脉冲间隔可单独设定；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10、脉冲重复频率：“单次”、“0.5Hz”、“1Hz”三档可以选择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★11、4种光斑尺寸：35mm×15mm、15mm×15mm、15mm×8mm、φ10mm；</w:t>
            </w:r>
            <w:r w:rsidRPr="006A636E"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12、治疗头制冷温度：2℃～6℃，多种制冷强度可选择；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★13、能量校准系统：具备自动终端能量检测及校准功能；</w:t>
            </w:r>
            <w:r w:rsidRPr="006A636E"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14、冷却系统：内循环封闭水冷，外循环</w:t>
            </w: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lastRenderedPageBreak/>
              <w:t>风冷；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15、过滤系统：</w:t>
            </w:r>
            <w:proofErr w:type="gramStart"/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内置双</w:t>
            </w:r>
            <w:proofErr w:type="gramEnd"/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过滤洁净装置和水离子浓度过滤装置</w:t>
            </w:r>
          </w:p>
          <w:p w:rsidR="00591459" w:rsidRPr="006A636E" w:rsidRDefault="00591459" w:rsidP="001F37B2">
            <w:pPr>
              <w:spacing w:line="360" w:lineRule="auto"/>
              <w:ind w:left="2160" w:hangingChars="900" w:hanging="2160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16、控制系统：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①≥15寸高清电容触摸屏；具备导航操作模式;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②具有波片自动识别、匹配系统。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③具有能量、温度、液位、水流、水量等智能化自动检测和控制功能；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④具有参数修正功能及升级接口、设备治疗参数存储记忆、故障语言显示、声音提示、密码设置等多种功能。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17、保护装置：配有遮光罩及自动断电保护装置。</w:t>
            </w:r>
          </w:p>
          <w:p w:rsidR="00591459" w:rsidRPr="006A636E" w:rsidRDefault="00591459" w:rsidP="001F37B2">
            <w:pPr>
              <w:spacing w:line="360" w:lineRule="auto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 w:rsidRPr="006A636E">
              <w:rPr>
                <w:rFonts w:ascii="宋体" w:eastAsia="宋体" w:hAnsi="宋体" w:cs="楷体" w:hint="eastAsia"/>
                <w:sz w:val="24"/>
                <w:szCs w:val="24"/>
              </w:rPr>
              <w:t>18、输出控制：“手具按钮”与“脚踏开关”两种不同控制方式，医生自由选择</w:t>
            </w:r>
          </w:p>
        </w:tc>
        <w:tc>
          <w:tcPr>
            <w:tcW w:w="582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1套</w:t>
            </w:r>
          </w:p>
        </w:tc>
        <w:tc>
          <w:tcPr>
            <w:tcW w:w="528" w:type="pct"/>
            <w:vAlign w:val="center"/>
          </w:tcPr>
          <w:p w:rsidR="00591459" w:rsidRPr="006A636E" w:rsidRDefault="00591459" w:rsidP="001F37B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A636E">
              <w:rPr>
                <w:rFonts w:ascii="宋体" w:eastAsia="宋体" w:hAnsi="宋体" w:cs="Times New Roman"/>
                <w:bCs/>
                <w:sz w:val="24"/>
                <w:szCs w:val="24"/>
              </w:rPr>
              <w:t>工业</w:t>
            </w:r>
          </w:p>
        </w:tc>
      </w:tr>
    </w:tbl>
    <w:p w:rsidR="00591459" w:rsidRDefault="00591459" w:rsidP="00591459">
      <w:pPr>
        <w:spacing w:beforeLines="50" w:before="156" w:line="360" w:lineRule="auto"/>
        <w:ind w:firstLine="437"/>
        <w:rPr>
          <w:rFonts w:ascii="宋体" w:eastAsia="宋体" w:hAnsi="宋体"/>
          <w:b/>
          <w:bCs/>
          <w:sz w:val="24"/>
          <w:szCs w:val="18"/>
        </w:rPr>
      </w:pPr>
      <w:r>
        <w:rPr>
          <w:rFonts w:ascii="宋体" w:eastAsia="宋体" w:hAnsi="宋体" w:hint="eastAsia"/>
          <w:b/>
          <w:bCs/>
          <w:sz w:val="24"/>
          <w:szCs w:val="18"/>
        </w:rPr>
        <w:lastRenderedPageBreak/>
        <w:t>三、报价要求</w:t>
      </w:r>
    </w:p>
    <w:p w:rsidR="00591459" w:rsidRDefault="00591459" w:rsidP="00591459">
      <w:pPr>
        <w:spacing w:line="360" w:lineRule="auto"/>
        <w:ind w:firstLine="437"/>
        <w:rPr>
          <w:rFonts w:ascii="宋体" w:eastAsia="宋体" w:hAnsi="宋体"/>
          <w:bCs/>
          <w:sz w:val="24"/>
          <w:szCs w:val="18"/>
        </w:rPr>
      </w:pPr>
      <w:r>
        <w:rPr>
          <w:rFonts w:ascii="宋体" w:eastAsia="宋体" w:hAnsi="宋体"/>
          <w:bCs/>
          <w:sz w:val="24"/>
          <w:szCs w:val="18"/>
        </w:rPr>
        <w:t>本项目报总价</w:t>
      </w:r>
      <w:r>
        <w:rPr>
          <w:rFonts w:ascii="宋体" w:eastAsia="宋体" w:hAnsi="宋体" w:hint="eastAsia"/>
          <w:bCs/>
          <w:sz w:val="24"/>
          <w:szCs w:val="18"/>
        </w:rPr>
        <w:t>，</w:t>
      </w:r>
      <w:r>
        <w:rPr>
          <w:rFonts w:ascii="宋体" w:eastAsia="宋体" w:hAnsi="宋体"/>
          <w:bCs/>
          <w:sz w:val="24"/>
          <w:szCs w:val="18"/>
        </w:rPr>
        <w:t>报价为完成本项目所产生的全部费用</w:t>
      </w:r>
      <w:r>
        <w:rPr>
          <w:rFonts w:ascii="宋体" w:eastAsia="宋体" w:hAnsi="宋体" w:hint="eastAsia"/>
          <w:bCs/>
          <w:sz w:val="24"/>
          <w:szCs w:val="18"/>
        </w:rPr>
        <w:t>（含税）。</w:t>
      </w:r>
    </w:p>
    <w:p w:rsidR="00591459" w:rsidRDefault="00591459" w:rsidP="00591459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18"/>
        </w:rPr>
      </w:pPr>
      <w:r>
        <w:rPr>
          <w:rFonts w:ascii="宋体" w:eastAsia="宋体" w:hAnsi="宋体"/>
          <w:bCs/>
          <w:sz w:val="24"/>
          <w:szCs w:val="18"/>
        </w:rPr>
        <w:br w:type="page"/>
      </w:r>
    </w:p>
    <w:p w:rsidR="00591459" w:rsidRDefault="00591459" w:rsidP="00591459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18"/>
        </w:rPr>
      </w:pPr>
    </w:p>
    <w:p w:rsidR="003056F6" w:rsidRPr="00591459" w:rsidRDefault="003056F6"/>
    <w:sectPr w:rsidR="003056F6" w:rsidRPr="0059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B5" w:rsidRDefault="004E53B5" w:rsidP="00591459">
      <w:r>
        <w:separator/>
      </w:r>
    </w:p>
  </w:endnote>
  <w:endnote w:type="continuationSeparator" w:id="0">
    <w:p w:rsidR="004E53B5" w:rsidRDefault="004E53B5" w:rsidP="005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仿宋_GB2312">
    <w:altName w:val="@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B5" w:rsidRDefault="004E53B5" w:rsidP="00591459">
      <w:r>
        <w:separator/>
      </w:r>
    </w:p>
  </w:footnote>
  <w:footnote w:type="continuationSeparator" w:id="0">
    <w:p w:rsidR="004E53B5" w:rsidRDefault="004E53B5" w:rsidP="0059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3"/>
    <w:rsid w:val="00122F23"/>
    <w:rsid w:val="003056F6"/>
    <w:rsid w:val="004E53B5"/>
    <w:rsid w:val="005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Times New Roman" w:cs="@仿宋_GB2312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59"/>
    <w:pPr>
      <w:widowControl w:val="0"/>
      <w:jc w:val="both"/>
    </w:pPr>
    <w:rPr>
      <w:rFonts w:ascii="@仿宋_GB2312" w:eastAsia="@仿宋_GB2312" w:hAnsi="@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459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Times New Roman" w:cs="@仿宋_GB2312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59"/>
    <w:pPr>
      <w:widowControl w:val="0"/>
      <w:jc w:val="both"/>
    </w:pPr>
    <w:rPr>
      <w:rFonts w:ascii="@仿宋_GB2312" w:eastAsia="@仿宋_GB2312" w:hAnsi="@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459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2021-09-18T09:10:00Z</dcterms:created>
  <dcterms:modified xsi:type="dcterms:W3CDTF">2021-09-18T09:11:00Z</dcterms:modified>
</cp:coreProperties>
</file>