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asciiTheme="minorEastAsia" w:hAnsiTheme="minorEastAsia" w:eastAsiaTheme="minorEastAsia"/>
          <w:b/>
          <w:sz w:val="28"/>
        </w:rPr>
      </w:pPr>
      <w:r>
        <w:rPr>
          <w:rFonts w:hint="eastAsia" w:asciiTheme="minorEastAsia" w:hAnsiTheme="minorEastAsia" w:eastAsiaTheme="minorEastAsia"/>
          <w:b/>
          <w:sz w:val="28"/>
        </w:rPr>
        <w:t>采购需求</w:t>
      </w:r>
    </w:p>
    <w:p>
      <w:pPr>
        <w:spacing w:line="360" w:lineRule="auto"/>
        <w:jc w:val="center"/>
        <w:outlineLvl w:val="1"/>
        <w:rPr>
          <w:rFonts w:hint="eastAsia" w:asciiTheme="minorEastAsia" w:hAnsiTheme="minorEastAsia" w:eastAsiaTheme="minorEastAsia"/>
          <w:b/>
          <w:color w:val="FF0000"/>
          <w:sz w:val="28"/>
          <w:lang w:eastAsia="zh-CN"/>
        </w:rPr>
      </w:pPr>
      <w:r>
        <w:rPr>
          <w:rFonts w:hint="eastAsia" w:asciiTheme="minorEastAsia" w:hAnsiTheme="minorEastAsia" w:eastAsiaTheme="minorEastAsia"/>
          <w:b/>
          <w:color w:val="FF0000"/>
          <w:sz w:val="28"/>
          <w:lang w:eastAsia="zh-CN"/>
        </w:rPr>
        <w:t>（仅供参考，具体</w:t>
      </w:r>
      <w:bookmarkStart w:id="0" w:name="_GoBack"/>
      <w:bookmarkEnd w:id="0"/>
      <w:r>
        <w:rPr>
          <w:rFonts w:hint="eastAsia" w:asciiTheme="minorEastAsia" w:hAnsiTheme="minorEastAsia" w:eastAsiaTheme="minorEastAsia"/>
          <w:b/>
          <w:color w:val="FF0000"/>
          <w:sz w:val="28"/>
          <w:lang w:eastAsia="zh-CN"/>
        </w:rPr>
        <w:t>以谈判文件为准）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480" w:firstLineChars="200"/>
        <w:rPr>
          <w:rFonts w:ascii="宋体" w:hAnsi="宋体" w:eastAsia="宋体"/>
          <w:sz w:val="24"/>
          <w:szCs w:val="18"/>
        </w:rPr>
      </w:pPr>
      <w:r>
        <w:rPr>
          <w:rFonts w:hint="eastAsia" w:asciiTheme="minorEastAsia" w:hAnsiTheme="minorEastAsia" w:eastAsiaTheme="minorEastAsia"/>
          <w:sz w:val="24"/>
        </w:rPr>
        <w:t>1.</w:t>
      </w:r>
      <w:r>
        <w:rPr>
          <w:rFonts w:ascii="宋体" w:hAnsi="宋体" w:eastAsia="宋体"/>
          <w:sz w:val="24"/>
          <w:szCs w:val="18"/>
        </w:rPr>
        <w:t>根据《关于规范政府采购进口产品有关工作的通知》及政府采购管理部门的相关规定，下列采购需求中</w:t>
      </w:r>
      <w:r>
        <w:rPr>
          <w:rFonts w:hint="eastAsia" w:ascii="宋体" w:hAnsi="宋体" w:eastAsia="宋体"/>
          <w:sz w:val="24"/>
          <w:szCs w:val="18"/>
        </w:rPr>
        <w:t>标注进口产品的货物均</w:t>
      </w:r>
      <w:r>
        <w:rPr>
          <w:rFonts w:ascii="宋体" w:hAnsi="宋体" w:eastAsia="宋体"/>
          <w:sz w:val="24"/>
          <w:szCs w:val="18"/>
        </w:rPr>
        <w:t>已履行相关论证手续，经核准采购进口</w:t>
      </w:r>
      <w:r>
        <w:rPr>
          <w:rFonts w:hint="eastAsia" w:ascii="宋体" w:hAnsi="宋体" w:eastAsia="宋体"/>
          <w:sz w:val="24"/>
          <w:szCs w:val="18"/>
        </w:rPr>
        <w:t>产品</w:t>
      </w:r>
      <w:r>
        <w:rPr>
          <w:rFonts w:ascii="宋体" w:hAnsi="宋体" w:eastAsia="宋体"/>
          <w:sz w:val="24"/>
          <w:szCs w:val="18"/>
        </w:rPr>
        <w:t>，但不限制满足</w:t>
      </w:r>
      <w:r>
        <w:rPr>
          <w:rFonts w:hint="eastAsia" w:ascii="宋体" w:hAnsi="宋体" w:eastAsia="宋体"/>
          <w:sz w:val="24"/>
          <w:szCs w:val="18"/>
        </w:rPr>
        <w:t>谈判</w:t>
      </w:r>
      <w:r>
        <w:rPr>
          <w:rFonts w:ascii="宋体" w:hAnsi="宋体" w:eastAsia="宋体"/>
          <w:sz w:val="24"/>
          <w:szCs w:val="18"/>
        </w:rPr>
        <w:t>文件要求的国内产品参与竞争</w:t>
      </w:r>
      <w:r>
        <w:rPr>
          <w:rFonts w:hint="eastAsia" w:ascii="宋体" w:hAnsi="宋体" w:eastAsia="宋体"/>
          <w:sz w:val="24"/>
          <w:szCs w:val="18"/>
        </w:rPr>
        <w:t>。未标注进口产品的货物均</w:t>
      </w:r>
      <w:r>
        <w:rPr>
          <w:rFonts w:ascii="宋体" w:hAnsi="宋体" w:eastAsia="宋体"/>
          <w:sz w:val="24"/>
          <w:szCs w:val="18"/>
        </w:rPr>
        <w:t>为拒绝采购进口产品</w:t>
      </w:r>
      <w:r>
        <w:rPr>
          <w:rFonts w:hint="eastAsia" w:ascii="宋体" w:hAnsi="宋体" w:eastAsia="宋体"/>
          <w:sz w:val="24"/>
          <w:szCs w:val="18"/>
        </w:rPr>
        <w:t>。</w:t>
      </w:r>
    </w:p>
    <w:p>
      <w:pPr>
        <w:spacing w:line="360" w:lineRule="auto"/>
        <w:ind w:firstLine="480" w:firstLineChars="200"/>
        <w:rPr>
          <w:rFonts w:ascii="宋体" w:hAnsi="宋体" w:eastAsia="宋体"/>
          <w:sz w:val="24"/>
          <w:szCs w:val="18"/>
        </w:rPr>
      </w:pPr>
      <w:r>
        <w:rPr>
          <w:rFonts w:hint="eastAsia" w:ascii="宋体" w:hAnsi="宋体" w:eastAsia="宋体"/>
          <w:sz w:val="24"/>
          <w:szCs w:val="18"/>
        </w:rPr>
        <w:t>2.下列采购需求中：如属于《节能产品政府采购品目清单》中政府强制采购的节能产品，则供应商所投产品须具有市场监管总局公布的《参与实施政府采购节能产品认证机构目录》中的认证机构出具的、处于有效期内的节能产品认证证书。</w:t>
      </w:r>
    </w:p>
    <w:p>
      <w:pPr>
        <w:spacing w:line="360" w:lineRule="auto"/>
        <w:ind w:firstLine="480" w:firstLineChars="200"/>
        <w:rPr>
          <w:rFonts w:ascii="宋体" w:hAnsi="宋体" w:eastAsia="宋体"/>
          <w:sz w:val="24"/>
          <w:szCs w:val="18"/>
        </w:rPr>
      </w:pPr>
      <w:r>
        <w:rPr>
          <w:rFonts w:hint="eastAsia" w:ascii="宋体" w:hAnsi="宋体" w:eastAsia="宋体"/>
          <w:sz w:val="24"/>
          <w:szCs w:val="18"/>
        </w:rPr>
        <w:t>3.</w:t>
      </w:r>
      <w:r>
        <w:rPr>
          <w:rFonts w:ascii="宋体" w:hAnsi="宋体" w:eastAsia="宋体"/>
          <w:sz w:val="24"/>
          <w:szCs w:val="18"/>
        </w:rPr>
        <w:t>下列采购需求中：标注▲的产品</w:t>
      </w:r>
      <w:r>
        <w:rPr>
          <w:rFonts w:hint="eastAsia" w:ascii="宋体" w:hAnsi="宋体" w:eastAsia="宋体"/>
          <w:sz w:val="24"/>
          <w:szCs w:val="18"/>
        </w:rPr>
        <w:t>（核心产品）</w:t>
      </w:r>
      <w:r>
        <w:rPr>
          <w:rFonts w:ascii="宋体" w:hAnsi="宋体" w:eastAsia="宋体"/>
          <w:sz w:val="24"/>
          <w:szCs w:val="18"/>
        </w:rPr>
        <w:t>，</w:t>
      </w:r>
      <w:r>
        <w:rPr>
          <w:rFonts w:hint="eastAsia" w:ascii="宋体" w:hAnsi="宋体" w:eastAsia="宋体"/>
          <w:sz w:val="24"/>
          <w:szCs w:val="18"/>
        </w:rPr>
        <w:t>供应商</w:t>
      </w:r>
      <w:r>
        <w:rPr>
          <w:rFonts w:ascii="宋体" w:hAnsi="宋体" w:eastAsia="宋体"/>
          <w:sz w:val="24"/>
          <w:szCs w:val="18"/>
        </w:rPr>
        <w:t>在</w:t>
      </w:r>
      <w:r>
        <w:rPr>
          <w:rFonts w:hint="eastAsia" w:ascii="宋体" w:hAnsi="宋体" w:eastAsia="宋体"/>
          <w:sz w:val="24"/>
          <w:szCs w:val="18"/>
        </w:rPr>
        <w:t>响应</w:t>
      </w:r>
      <w:r>
        <w:rPr>
          <w:rFonts w:ascii="宋体" w:hAnsi="宋体" w:eastAsia="宋体"/>
          <w:sz w:val="24"/>
          <w:szCs w:val="18"/>
        </w:rPr>
        <w:t>文件《主要</w:t>
      </w:r>
      <w:r>
        <w:rPr>
          <w:rFonts w:hint="eastAsia" w:ascii="宋体" w:hAnsi="宋体" w:eastAsia="宋体"/>
          <w:sz w:val="24"/>
          <w:szCs w:val="18"/>
        </w:rPr>
        <w:t>成交标的</w:t>
      </w:r>
      <w:r>
        <w:rPr>
          <w:rFonts w:ascii="宋体" w:hAnsi="宋体" w:eastAsia="宋体"/>
          <w:sz w:val="24"/>
          <w:szCs w:val="18"/>
        </w:rPr>
        <w:t>承诺函》中填写名称、</w:t>
      </w:r>
      <w:r>
        <w:rPr>
          <w:rFonts w:hint="eastAsia" w:ascii="宋体" w:hAnsi="宋体" w:eastAsia="宋体"/>
          <w:sz w:val="24"/>
          <w:szCs w:val="18"/>
        </w:rPr>
        <w:t>品牌、</w:t>
      </w:r>
      <w:r>
        <w:rPr>
          <w:rFonts w:ascii="宋体" w:hAnsi="宋体" w:eastAsia="宋体"/>
          <w:sz w:val="24"/>
          <w:szCs w:val="18"/>
        </w:rPr>
        <w:t>规格、型号、数量、单价等信息</w:t>
      </w:r>
      <w:r>
        <w:rPr>
          <w:rFonts w:hint="eastAsia" w:ascii="宋体" w:hAnsi="宋体" w:eastAsia="宋体"/>
          <w:sz w:val="24"/>
          <w:szCs w:val="18"/>
        </w:rPr>
        <w:t>。</w:t>
      </w:r>
    </w:p>
    <w:p>
      <w:pPr>
        <w:spacing w:line="360" w:lineRule="auto"/>
        <w:ind w:firstLine="435"/>
        <w:rPr>
          <w:rFonts w:ascii="宋体" w:hAnsi="宋体" w:eastAsia="宋体"/>
          <w:sz w:val="24"/>
          <w:szCs w:val="18"/>
        </w:rPr>
      </w:pPr>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5"/>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6"/>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6" w:type="pct"/>
            <w:vAlign w:val="center"/>
          </w:tcPr>
          <w:p>
            <w:pPr>
              <w:pStyle w:val="6"/>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6"/>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5483" w:type="dxa"/>
            <w:vAlign w:val="center"/>
          </w:tcPr>
          <w:p>
            <w:pPr>
              <w:pStyle w:val="6"/>
              <w:widowControl w:val="0"/>
              <w:spacing w:before="0" w:beforeAutospacing="0" w:after="0" w:afterAutospacing="0" w:line="360" w:lineRule="auto"/>
              <w:jc w:val="both"/>
              <w:rPr>
                <w:rFonts w:ascii="宋体" w:hAnsi="宋体" w:eastAsia="宋体" w:cs="宋体"/>
                <w:b w:val="0"/>
                <w:sz w:val="24"/>
                <w:u w:val="single"/>
              </w:rPr>
            </w:pPr>
            <w:r>
              <w:rPr>
                <w:rFonts w:hint="eastAsia" w:ascii="宋体" w:hAnsi="宋体" w:eastAsia="宋体" w:cs="宋体"/>
                <w:b w:val="0"/>
                <w:sz w:val="24"/>
                <w:u w:val="single"/>
              </w:rPr>
              <w:t xml:space="preserve"> 供货安装调试验收合格后一次性支付全款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6"/>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供货及安装地点</w:t>
            </w:r>
          </w:p>
        </w:tc>
        <w:tc>
          <w:tcPr>
            <w:tcW w:w="5483" w:type="dxa"/>
            <w:vAlign w:val="center"/>
          </w:tcPr>
          <w:p>
            <w:pPr>
              <w:pStyle w:val="6"/>
              <w:widowControl w:val="0"/>
              <w:spacing w:before="0" w:beforeAutospacing="0" w:after="0" w:afterAutospacing="0" w:line="360" w:lineRule="auto"/>
              <w:jc w:val="both"/>
              <w:rPr>
                <w:rFonts w:ascii="宋体" w:hAnsi="宋体" w:eastAsia="宋体" w:cs="宋体"/>
                <w:b w:val="0"/>
                <w:sz w:val="24"/>
              </w:rPr>
            </w:pPr>
            <w:r>
              <w:rPr>
                <w:rFonts w:hint="eastAsia" w:ascii="宋体" w:hAnsi="宋体" w:eastAsia="宋体" w:cs="宋体"/>
                <w:b w:val="0"/>
                <w:sz w:val="24"/>
                <w:u w:val="single"/>
              </w:rPr>
              <w:t xml:space="preserve"> 安徽工商职业学院，采购人指定地点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6"/>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供货及安装期限</w:t>
            </w:r>
          </w:p>
        </w:tc>
        <w:tc>
          <w:tcPr>
            <w:tcW w:w="5483" w:type="dxa"/>
            <w:vAlign w:val="center"/>
          </w:tcPr>
          <w:p>
            <w:pPr>
              <w:pStyle w:val="6"/>
              <w:widowControl w:val="0"/>
              <w:spacing w:before="0" w:beforeAutospacing="0" w:after="0" w:afterAutospacing="0" w:line="360" w:lineRule="auto"/>
              <w:jc w:val="both"/>
              <w:rPr>
                <w:rFonts w:ascii="宋体" w:hAnsi="宋体" w:eastAsia="宋体" w:cs="宋体"/>
                <w:b w:val="0"/>
                <w:sz w:val="24"/>
              </w:rPr>
            </w:pPr>
            <w:r>
              <w:rPr>
                <w:rFonts w:hint="eastAsia" w:ascii="宋体" w:hAnsi="宋体" w:eastAsia="宋体" w:cs="宋体"/>
                <w:b w:val="0"/>
                <w:sz w:val="24"/>
              </w:rPr>
              <w:t>合同生效后</w:t>
            </w:r>
            <w:r>
              <w:rPr>
                <w:rFonts w:hint="eastAsia" w:ascii="宋体" w:hAnsi="宋体" w:eastAsia="宋体" w:cs="宋体"/>
                <w:b w:val="0"/>
                <w:sz w:val="24"/>
                <w:u w:val="single"/>
              </w:rPr>
              <w:t xml:space="preserve"> 15个工作日完成供货及安装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6"/>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免费质保期</w:t>
            </w:r>
          </w:p>
        </w:tc>
        <w:tc>
          <w:tcPr>
            <w:tcW w:w="5483" w:type="dxa"/>
            <w:vAlign w:val="center"/>
          </w:tcPr>
          <w:p>
            <w:pPr>
              <w:pStyle w:val="6"/>
              <w:widowControl w:val="0"/>
              <w:spacing w:before="0" w:beforeAutospacing="0" w:after="0" w:afterAutospacing="0" w:line="360" w:lineRule="auto"/>
              <w:jc w:val="both"/>
              <w:rPr>
                <w:rFonts w:ascii="宋体" w:hAnsi="宋体" w:eastAsia="宋体" w:cs="宋体"/>
                <w:b w:val="0"/>
                <w:sz w:val="24"/>
              </w:rPr>
            </w:pPr>
            <w:r>
              <w:rPr>
                <w:rFonts w:hint="eastAsia" w:ascii="宋体" w:hAnsi="宋体" w:eastAsia="宋体" w:cs="宋体"/>
                <w:b w:val="0"/>
                <w:sz w:val="24"/>
              </w:rPr>
              <w:t>验收合格之日起</w:t>
            </w:r>
            <w:r>
              <w:rPr>
                <w:rFonts w:hint="eastAsia" w:ascii="宋体" w:hAnsi="宋体" w:eastAsia="宋体" w:cs="宋体"/>
                <w:b w:val="0"/>
                <w:sz w:val="24"/>
                <w:u w:val="single"/>
              </w:rPr>
              <w:t xml:space="preserve"> </w:t>
            </w:r>
            <w:r>
              <w:rPr>
                <w:rFonts w:hint="eastAsia" w:ascii="宋体" w:hAnsi="宋体" w:eastAsia="宋体" w:cs="宋体"/>
                <w:b w:val="0"/>
                <w:sz w:val="24"/>
                <w:u w:val="single"/>
                <w:lang w:val="en-US" w:eastAsia="zh-CN"/>
              </w:rPr>
              <w:t>3</w:t>
            </w:r>
            <w:r>
              <w:rPr>
                <w:rFonts w:hint="eastAsia" w:ascii="宋体" w:hAnsi="宋体" w:eastAsia="宋体" w:cs="宋体"/>
                <w:b w:val="0"/>
                <w:sz w:val="24"/>
                <w:u w:val="single"/>
              </w:rPr>
              <w:t>年  ，采购需求有特殊要求的以采购需求为准</w:t>
            </w:r>
          </w:p>
        </w:tc>
      </w:tr>
    </w:tbl>
    <w:p>
      <w:pPr>
        <w:rPr>
          <w:rFonts w:ascii="宋体" w:hAnsi="宋体" w:eastAsia="宋体"/>
          <w:b/>
          <w:bCs/>
          <w:sz w:val="24"/>
          <w:szCs w:val="18"/>
        </w:rPr>
      </w:pPr>
      <w:r>
        <w:rPr>
          <w:rFonts w:hint="eastAsia" w:ascii="宋体" w:hAnsi="宋体" w:eastAsia="宋体"/>
          <w:b/>
          <w:bCs/>
          <w:sz w:val="24"/>
          <w:szCs w:val="18"/>
        </w:rPr>
        <w:br w:type="page"/>
      </w:r>
    </w:p>
    <w:p>
      <w:pPr>
        <w:numPr>
          <w:ilvl w:val="0"/>
          <w:numId w:val="1"/>
        </w:numPr>
        <w:spacing w:line="360" w:lineRule="auto"/>
        <w:ind w:firstLine="437"/>
        <w:rPr>
          <w:rFonts w:ascii="宋体" w:hAnsi="宋体" w:eastAsia="宋体"/>
          <w:b/>
          <w:bCs/>
          <w:sz w:val="24"/>
          <w:szCs w:val="18"/>
        </w:rPr>
      </w:pPr>
      <w:r>
        <w:rPr>
          <w:rFonts w:hint="eastAsia" w:ascii="宋体" w:hAnsi="宋体" w:eastAsia="宋体"/>
          <w:b/>
          <w:bCs/>
          <w:sz w:val="24"/>
          <w:szCs w:val="18"/>
        </w:rPr>
        <w:t>货物需求</w:t>
      </w:r>
    </w:p>
    <w:p>
      <w:pPr>
        <w:spacing w:line="360" w:lineRule="auto"/>
        <w:ind w:firstLine="482" w:firstLineChars="200"/>
        <w:rPr>
          <w:rFonts w:ascii="宋体" w:hAnsi="宋体" w:eastAsia="宋体"/>
          <w:b/>
          <w:bCs/>
          <w:sz w:val="24"/>
          <w:szCs w:val="18"/>
        </w:rPr>
      </w:pPr>
      <w:r>
        <w:rPr>
          <w:rFonts w:ascii="宋体" w:hAnsi="宋体" w:eastAsia="宋体"/>
          <w:b/>
          <w:bCs/>
          <w:sz w:val="24"/>
          <w:szCs w:val="24"/>
        </w:rPr>
        <w:t>标识</w:t>
      </w:r>
      <w:r>
        <w:rPr>
          <w:rFonts w:hint="eastAsia" w:ascii="宋体" w:hAnsi="宋体" w:eastAsia="宋体" w:cs="宋体"/>
          <w:color w:val="000000"/>
          <w:kern w:val="0"/>
          <w:sz w:val="24"/>
          <w:szCs w:val="24"/>
        </w:rPr>
        <w:t>★</w:t>
      </w:r>
      <w:r>
        <w:rPr>
          <w:rFonts w:ascii="宋体" w:hAnsi="宋体" w:eastAsia="宋体"/>
          <w:b/>
          <w:bCs/>
          <w:sz w:val="24"/>
          <w:szCs w:val="24"/>
        </w:rPr>
        <w:t>项作</w:t>
      </w:r>
      <w:r>
        <w:rPr>
          <w:rFonts w:hint="eastAsia" w:ascii="宋体" w:hAnsi="宋体" w:eastAsia="宋体"/>
          <w:b/>
          <w:bCs/>
          <w:sz w:val="24"/>
          <w:szCs w:val="24"/>
        </w:rPr>
        <w:t>须完全满足或优于谈判文件要求</w:t>
      </w:r>
      <w:r>
        <w:rPr>
          <w:rFonts w:ascii="宋体" w:hAnsi="宋体" w:eastAsia="宋体"/>
          <w:b/>
          <w:bCs/>
          <w:sz w:val="24"/>
          <w:szCs w:val="24"/>
        </w:rPr>
        <w:t>，</w:t>
      </w:r>
      <w:r>
        <w:rPr>
          <w:rFonts w:hint="eastAsia" w:ascii="宋体" w:hAnsi="宋体" w:eastAsia="宋体"/>
          <w:b/>
          <w:bCs/>
          <w:sz w:val="24"/>
          <w:szCs w:val="24"/>
        </w:rPr>
        <w:t>否则</w:t>
      </w:r>
      <w:r>
        <w:rPr>
          <w:rFonts w:ascii="宋体" w:hAnsi="宋体" w:eastAsia="宋体"/>
          <w:b/>
          <w:bCs/>
          <w:sz w:val="24"/>
          <w:szCs w:val="24"/>
        </w:rPr>
        <w:t>将导致</w:t>
      </w:r>
      <w:r>
        <w:rPr>
          <w:rFonts w:hint="eastAsia" w:ascii="宋体" w:hAnsi="宋体" w:eastAsia="宋体"/>
          <w:b/>
          <w:bCs/>
          <w:sz w:val="24"/>
          <w:szCs w:val="24"/>
        </w:rPr>
        <w:t>需要</w:t>
      </w:r>
      <w:r>
        <w:rPr>
          <w:rFonts w:ascii="宋体" w:hAnsi="宋体" w:eastAsia="宋体"/>
          <w:b/>
          <w:bCs/>
          <w:sz w:val="24"/>
          <w:szCs w:val="24"/>
        </w:rPr>
        <w:t>无效</w:t>
      </w:r>
      <w:r>
        <w:rPr>
          <w:rFonts w:hint="eastAsia" w:ascii="宋体" w:hAnsi="宋体" w:eastAsia="宋体"/>
          <w:b/>
          <w:bCs/>
          <w:sz w:val="24"/>
          <w:szCs w:val="24"/>
        </w:rPr>
        <w:t>；非</w:t>
      </w:r>
      <w:r>
        <w:rPr>
          <w:rFonts w:hint="eastAsia" w:ascii="宋体" w:hAnsi="宋体" w:eastAsia="宋体" w:cs="宋体"/>
          <w:color w:val="000000"/>
          <w:kern w:val="0"/>
          <w:sz w:val="24"/>
          <w:szCs w:val="24"/>
        </w:rPr>
        <w:t>★</w:t>
      </w:r>
      <w:r>
        <w:rPr>
          <w:rFonts w:hint="eastAsia" w:ascii="宋体" w:hAnsi="宋体" w:eastAsia="宋体"/>
          <w:b/>
          <w:bCs/>
          <w:sz w:val="24"/>
          <w:szCs w:val="24"/>
        </w:rPr>
        <w:t>号项由谈判小组酌情评审。</w:t>
      </w:r>
    </w:p>
    <w:tbl>
      <w:tblPr>
        <w:tblStyle w:val="3"/>
        <w:tblW w:w="4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917"/>
        <w:gridCol w:w="5259"/>
        <w:gridCol w:w="697"/>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8" w:type="pct"/>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546" w:type="pct"/>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3131" w:type="pct"/>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技术参数及要求</w:t>
            </w:r>
          </w:p>
        </w:tc>
        <w:tc>
          <w:tcPr>
            <w:tcW w:w="415" w:type="pct"/>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数量</w:t>
            </w:r>
          </w:p>
        </w:tc>
        <w:tc>
          <w:tcPr>
            <w:tcW w:w="488" w:type="pct"/>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18" w:type="pct"/>
            <w:vAlign w:val="center"/>
          </w:tcPr>
          <w:p>
            <w:pPr>
              <w:widowControl/>
              <w:spacing w:line="360" w:lineRule="auto"/>
              <w:jc w:val="center"/>
              <w:rPr>
                <w:rFonts w:ascii="宋体" w:hAnsi="宋体" w:eastAsia="宋体" w:cs="宋体"/>
                <w:sz w:val="24"/>
                <w:szCs w:val="24"/>
              </w:rPr>
            </w:pPr>
            <w:r>
              <w:rPr>
                <w:rFonts w:hint="eastAsia" w:ascii="宋体" w:hAnsi="宋体" w:eastAsia="宋体" w:cs="宋体"/>
                <w:color w:val="000000"/>
                <w:kern w:val="0"/>
                <w:sz w:val="24"/>
                <w:szCs w:val="24"/>
              </w:rPr>
              <w:t>1</w:t>
            </w:r>
          </w:p>
        </w:tc>
        <w:tc>
          <w:tcPr>
            <w:tcW w:w="546"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color w:val="000000"/>
                <w:kern w:val="0"/>
                <w:sz w:val="24"/>
                <w:szCs w:val="24"/>
              </w:rPr>
              <w:t>文件存储服务器</w:t>
            </w:r>
          </w:p>
        </w:tc>
        <w:tc>
          <w:tcPr>
            <w:tcW w:w="3131"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color w:val="000000"/>
                <w:kern w:val="0"/>
                <w:sz w:val="24"/>
                <w:szCs w:val="24"/>
              </w:rPr>
              <w:t>1、品牌要求：国产品牌，非OEM产品，2U机架式服务器；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2、处理器：配置1颗Hygon 7255处理器，单颗CPU核心≥16核，主频≥2.2GHz；</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3、内存：配置≥64GB DDR4 RDIMM内存，配置≥16个内存插槽，最大可支持2TB内存容量；</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4、★硬盘：配置12块4T 3.5寸 SATA硬盘；支持2个SATA M.2 SSD硬盘配置硬件RAID1</w:t>
            </w:r>
            <w:r>
              <w:rPr>
                <w:rFonts w:hint="eastAsia" w:ascii="宋体" w:hAnsi="宋体" w:eastAsia="宋体" w:cs="宋体"/>
                <w:b/>
                <w:bCs/>
                <w:color w:val="000000"/>
                <w:kern w:val="0"/>
                <w:sz w:val="24"/>
                <w:szCs w:val="24"/>
              </w:rPr>
              <w:t>（响应文件中提供主板实物照片及Raid卡配置说明材料）</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5、RAID卡：配置板载12Gb SAS RAID控制器，不占用标准PCI-E插槽，缓存≥2G，支持RAID 0/1/5/6/10；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6、网卡：配置两块高端双口千兆网卡；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7、扩展性：最大支持6个PCI-E 3.0插槽，</w:t>
            </w:r>
            <w:r>
              <w:rPr>
                <w:rFonts w:hint="eastAsia" w:ascii="宋体" w:hAnsi="宋体" w:eastAsia="宋体" w:cs="宋体"/>
                <w:b/>
                <w:bCs/>
                <w:color w:val="000000"/>
                <w:kern w:val="0"/>
                <w:sz w:val="24"/>
                <w:szCs w:val="24"/>
              </w:rPr>
              <w:t>响应文件中提供产品彩页或技术白皮书扫描件</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8、SD卡：主板支持1个SD卡槽，可实现存储BMC日志, </w:t>
            </w:r>
            <w:r>
              <w:rPr>
                <w:rFonts w:hint="eastAsia" w:ascii="宋体" w:hAnsi="宋体" w:eastAsia="宋体" w:cs="宋体"/>
                <w:b/>
                <w:bCs/>
                <w:color w:val="000000"/>
                <w:kern w:val="0"/>
                <w:sz w:val="24"/>
                <w:szCs w:val="24"/>
              </w:rPr>
              <w:t>响应文件中提供提供功能截图；</w:t>
            </w:r>
            <w:r>
              <w:rPr>
                <w:rFonts w:hint="eastAsia" w:ascii="宋体" w:hAnsi="宋体" w:eastAsia="宋体" w:cs="宋体"/>
                <w:b/>
                <w:bCs/>
                <w:color w:val="000000"/>
                <w:kern w:val="0"/>
                <w:sz w:val="24"/>
                <w:szCs w:val="24"/>
              </w:rPr>
              <w:br w:type="textWrapping"/>
            </w:r>
            <w:r>
              <w:rPr>
                <w:rFonts w:hint="eastAsia" w:ascii="宋体" w:hAnsi="宋体" w:eastAsia="宋体" w:cs="宋体"/>
                <w:color w:val="000000"/>
                <w:kern w:val="0"/>
                <w:sz w:val="24"/>
                <w:szCs w:val="24"/>
              </w:rPr>
              <w:t>9、电源：配置白金冗余电源，单电源模块额定功率≤550W；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10、★BIOS中文界面：支持BIOS中英文界面，</w:t>
            </w:r>
            <w:r>
              <w:rPr>
                <w:rFonts w:hint="eastAsia" w:ascii="宋体" w:hAnsi="宋体" w:eastAsia="宋体" w:cs="宋体"/>
                <w:b/>
                <w:bCs/>
                <w:color w:val="000000"/>
                <w:kern w:val="0"/>
                <w:sz w:val="24"/>
                <w:szCs w:val="24"/>
              </w:rPr>
              <w:t>响应文件中提供功能截图证明</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11、</w:t>
            </w:r>
            <w:r>
              <w:rPr>
                <w:rFonts w:hint="eastAsia" w:ascii="宋体" w:hAnsi="宋体" w:eastAsia="宋体" w:cs="宋体"/>
                <w:b/>
                <w:bCs/>
                <w:color w:val="000000"/>
                <w:kern w:val="0"/>
                <w:sz w:val="24"/>
                <w:szCs w:val="24"/>
              </w:rPr>
              <w:t>★响应文件中提供第三方有权机构出具的提供中标麒麟，银河麒麟以及统信软件操作系统互认证证书扫描件；</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12、★管理软件：配置服务器管理软件，支持通过Web浏览器轻松实现对服务器的安装部署、配置、状态监控、告警、报表分析等运维管理工作，可以对机房、机柜、服务器等信息实现三维视图的方式进行监控，直观监控服务器设备信息，准确定位故障点。配置资产管理功能，包括添加资产、删除资产及机型管理；能够以图形化界面方式直观地显示资产在机柜中的位置，并突出显示机柜中资产的状态和告警；</w:t>
            </w:r>
            <w:r>
              <w:rPr>
                <w:rFonts w:hint="eastAsia" w:ascii="宋体" w:hAnsi="宋体" w:eastAsia="宋体" w:cs="宋体"/>
                <w:b/>
                <w:bCs/>
                <w:color w:val="000000"/>
                <w:kern w:val="0"/>
                <w:sz w:val="24"/>
                <w:szCs w:val="24"/>
              </w:rPr>
              <w:t>（响应文件中提供上述功能截图）</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13、★维护工具：配置原厂官方服务器批量维护工具，维护工具需提供不限服务器数量授权的批量更新BMC及BIOS功能、批量修改服务器BIOS功能、批量搜集BMC日志、批量搜集系统日志功能；</w:t>
            </w:r>
            <w:r>
              <w:rPr>
                <w:rFonts w:hint="eastAsia" w:ascii="宋体" w:hAnsi="宋体" w:eastAsia="宋体" w:cs="宋体"/>
                <w:b/>
                <w:bCs/>
                <w:color w:val="000000"/>
                <w:kern w:val="0"/>
                <w:sz w:val="24"/>
                <w:szCs w:val="24"/>
              </w:rPr>
              <w:t>（响应文件中提供上述功能截图）</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、需提供3年原厂整机质保，3年原厂免费上门服务。</w:t>
            </w:r>
          </w:p>
        </w:tc>
        <w:tc>
          <w:tcPr>
            <w:tcW w:w="415" w:type="pct"/>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color w:val="000000"/>
                <w:kern w:val="0"/>
                <w:sz w:val="24"/>
                <w:szCs w:val="24"/>
              </w:rPr>
              <w:t>1台</w:t>
            </w:r>
          </w:p>
        </w:tc>
        <w:tc>
          <w:tcPr>
            <w:tcW w:w="488" w:type="pct"/>
            <w:vAlign w:val="center"/>
          </w:tcPr>
          <w:p>
            <w:pPr>
              <w:spacing w:line="360" w:lineRule="auto"/>
              <w:jc w:val="center"/>
              <w:rPr>
                <w:rFonts w:ascii="宋体" w:hAnsi="宋体" w:eastAsia="宋体" w:cs="宋体"/>
                <w:bCs/>
                <w:sz w:val="24"/>
                <w:szCs w:val="24"/>
              </w:rPr>
            </w:pPr>
            <w:r>
              <w:rPr>
                <w:rFonts w:hint="eastAsia" w:ascii="宋体" w:hAnsi="宋体" w:eastAsia="宋体" w:cs="宋体"/>
                <w:bCs/>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8" w:type="pct"/>
            <w:vAlign w:val="center"/>
          </w:tcPr>
          <w:p>
            <w:pPr>
              <w:widowControl/>
              <w:spacing w:line="360" w:lineRule="auto"/>
              <w:jc w:val="center"/>
              <w:rPr>
                <w:rFonts w:ascii="宋体" w:hAnsi="宋体" w:eastAsia="宋体" w:cs="宋体"/>
                <w:sz w:val="24"/>
                <w:szCs w:val="24"/>
              </w:rPr>
            </w:pPr>
            <w:r>
              <w:rPr>
                <w:rFonts w:hint="eastAsia" w:ascii="宋体" w:hAnsi="宋体" w:eastAsia="宋体" w:cs="宋体"/>
                <w:color w:val="000000"/>
                <w:kern w:val="0"/>
                <w:sz w:val="24"/>
                <w:szCs w:val="24"/>
              </w:rPr>
              <w:t>2</w:t>
            </w:r>
          </w:p>
        </w:tc>
        <w:tc>
          <w:tcPr>
            <w:tcW w:w="546"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color w:val="000000"/>
                <w:kern w:val="0"/>
                <w:sz w:val="24"/>
                <w:szCs w:val="24"/>
              </w:rPr>
              <w:t>网络安全控制器</w:t>
            </w:r>
          </w:p>
        </w:tc>
        <w:tc>
          <w:tcPr>
            <w:tcW w:w="3131"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color w:val="000000"/>
                <w:kern w:val="0"/>
                <w:sz w:val="24"/>
                <w:szCs w:val="24"/>
              </w:rPr>
              <w:t>性能要求：</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 个 10/100/1000M 自适应以太网电口。</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功能要求：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1、★支持基于 4 层服务的策略路由；支持 ISP 自动地址表（电信、 移动、 网通、 铁通等） 的策略路由的选路方式；  </w:t>
            </w:r>
            <w:r>
              <w:rPr>
                <w:rFonts w:hint="eastAsia" w:ascii="宋体" w:hAnsi="宋体" w:eastAsia="宋体" w:cs="宋体"/>
                <w:b/>
                <w:bCs/>
                <w:color w:val="000000"/>
                <w:kern w:val="0"/>
                <w:sz w:val="24"/>
                <w:szCs w:val="24"/>
              </w:rPr>
              <w:t>（响应文件中提供功能截图证明）</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w:t>
            </w:r>
            <w:r>
              <w:rPr>
                <w:rFonts w:hint="eastAsia" w:ascii="宋体" w:hAnsi="宋体" w:eastAsia="宋体" w:cs="宋体"/>
                <w:color w:val="000000" w:themeColor="text1"/>
                <w:sz w:val="24"/>
                <w:szCs w:val="24"/>
                <w14:textFill>
                  <w14:solidFill>
                    <w14:schemeClr w14:val="tx1"/>
                  </w14:solidFill>
                </w14:textFill>
              </w:rPr>
              <w:t>支持所有访问的会话日志记录，包括: 源 IP、目的 IP、协议类型、七层应用名称、源端口、目的端口、是否进行 NAT 转换(可显示转换后的 IP 和端口)、会话产生的时间和会话持续时间；</w:t>
            </w:r>
            <w:r>
              <w:rPr>
                <w:rFonts w:hint="eastAsia" w:ascii="宋体" w:hAnsi="宋体" w:eastAsia="宋体" w:cs="宋体"/>
                <w:b/>
                <w:bCs/>
                <w:color w:val="000000"/>
                <w:kern w:val="0"/>
                <w:sz w:val="24"/>
                <w:szCs w:val="24"/>
              </w:rPr>
              <w:t>（响应文件中提供功能截图证明）</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w:t>
            </w:r>
            <w:r>
              <w:rPr>
                <w:rFonts w:hint="eastAsia" w:ascii="宋体" w:hAnsi="宋体" w:eastAsia="宋体" w:cs="宋体"/>
                <w:sz w:val="24"/>
                <w:szCs w:val="24"/>
              </w:rPr>
              <w:t>个人统计分析</w:t>
            </w:r>
            <w:r>
              <w:rPr>
                <w:rFonts w:hint="eastAsia" w:ascii="宋体" w:hAnsi="宋体" w:eastAsia="宋体" w:cs="宋体"/>
                <w:sz w:val="24"/>
                <w:szCs w:val="24"/>
              </w:rPr>
              <w:tab/>
            </w:r>
            <w:r>
              <w:rPr>
                <w:rFonts w:hint="eastAsia" w:ascii="宋体" w:hAnsi="宋体" w:eastAsia="宋体" w:cs="宋体"/>
                <w:sz w:val="24"/>
                <w:szCs w:val="24"/>
              </w:rPr>
              <w:t>基于个人的所有行为监控报表，包括：网页标题记录、发贴记录、网页评论记录、在搜索引擎上的搜索记录、网页文件上传记录、URL访问记录、即时通讯的登录信息/聊天内容/文件传输记录、邮件记录（详细内容、附件）、FTP登录信息/上传记录/下载记录；</w:t>
            </w:r>
            <w:r>
              <w:rPr>
                <w:rFonts w:hint="eastAsia" w:ascii="宋体" w:hAnsi="宋体" w:eastAsia="宋体" w:cs="宋体"/>
                <w:b/>
                <w:bCs/>
                <w:color w:val="000000"/>
                <w:kern w:val="0"/>
                <w:sz w:val="24"/>
                <w:szCs w:val="24"/>
              </w:rPr>
              <w:t>（响应文件中提供功能截图证明）</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4、链路聚合是将多个以太网物理端口捆绑成一条逻辑端口（即将多个端口捆绑成一个逻辑的端口以增加带宽， 同时增加链路备份）。链路聚合通道要求可以捆绑数不少于 10 个物理端口；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5、★ 支持能自动发现网络中私接的有线路由器、 无线路由、360wifi 等共享上网行为，能够及时对私接行为进行管控，在系统中能够实时查看管控记录和日志； </w:t>
            </w:r>
            <w:r>
              <w:rPr>
                <w:rFonts w:hint="eastAsia" w:ascii="宋体" w:hAnsi="宋体" w:eastAsia="宋体" w:cs="宋体"/>
                <w:b/>
                <w:bCs/>
                <w:color w:val="000000"/>
                <w:kern w:val="0"/>
                <w:sz w:val="24"/>
                <w:szCs w:val="24"/>
              </w:rPr>
              <w:t>（响应文件中提供功能截图证明）</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6、★支持识别网络中正连接的热点（手机、iPad）、支持管理员配置热点信任列表， 支持发现信任列表外非法接入的热点和终端，并阻止该热点/终端上网；支持将非法热点接入网络的行为通过邮件告警通知管理员， 并在数据中心支持行为记录和查询；</w:t>
            </w:r>
            <w:r>
              <w:rPr>
                <w:rFonts w:hint="eastAsia" w:ascii="宋体" w:hAnsi="宋体" w:eastAsia="宋体" w:cs="宋体"/>
                <w:b/>
                <w:bCs/>
                <w:color w:val="000000"/>
                <w:kern w:val="0"/>
                <w:sz w:val="24"/>
                <w:szCs w:val="24"/>
              </w:rPr>
              <w:t>（响应文件中提供功能截图证明）</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7、支持 IPsec VPN；支持 PPTP VPN</w:t>
            </w:r>
            <w:r>
              <w:rPr>
                <w:rFonts w:hint="eastAsia" w:ascii="宋体" w:hAnsi="宋体" w:eastAsia="宋体" w:cs="宋体"/>
                <w:b/>
                <w:bCs/>
                <w:color w:val="000000"/>
                <w:kern w:val="0"/>
                <w:sz w:val="24"/>
                <w:szCs w:val="24"/>
              </w:rPr>
              <w:t>（响应文件中提供功能截图证明）</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8、支持详细的告警功能，包含管理员操作日志、设备状态、流量异常、违规网站、违规帖子、违规文件上传、违规邮件发送以及潜在危害的行为告警</w:t>
            </w:r>
            <w:r>
              <w:rPr>
                <w:rFonts w:hint="eastAsia" w:ascii="宋体" w:hAnsi="宋体" w:eastAsia="宋体" w:cs="宋体"/>
                <w:b/>
                <w:bCs/>
                <w:color w:val="000000"/>
                <w:kern w:val="0"/>
                <w:sz w:val="24"/>
                <w:szCs w:val="24"/>
              </w:rPr>
              <w:t>（响应文件中提供功能截图证明）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9、支持层次化管理方式，不同的管理用户拥有不同的管理权限；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★资质要求： </w:t>
            </w:r>
            <w:r>
              <w:rPr>
                <w:rFonts w:hint="eastAsia" w:ascii="宋体" w:hAnsi="宋体" w:eastAsia="宋体" w:cs="宋体"/>
                <w:color w:val="000000"/>
                <w:kern w:val="0"/>
                <w:sz w:val="24"/>
                <w:szCs w:val="24"/>
              </w:rPr>
              <w:br w:type="textWrapping"/>
            </w:r>
            <w:r>
              <w:rPr>
                <w:rFonts w:hint="eastAsia" w:ascii="宋体" w:hAnsi="宋体" w:eastAsia="宋体" w:cs="宋体"/>
                <w:b/>
                <w:bCs/>
                <w:color w:val="000000"/>
                <w:kern w:val="0"/>
                <w:sz w:val="24"/>
                <w:szCs w:val="24"/>
              </w:rPr>
              <w:t>产品具有中华人民共和国公安部相关机构颁发的计算机信息系统安全专用产品销售许可证，第三方有权机构出具的互联网公共上网服务场所信息安全管理系统检测报告，响应文件中提供以上证书扫描件，</w:t>
            </w:r>
            <w:r>
              <w:rPr>
                <w:rFonts w:hint="eastAsia" w:ascii="宋体" w:hAnsi="宋体" w:eastAsia="宋体" w:cs="宋体"/>
                <w:color w:val="000000"/>
                <w:kern w:val="0"/>
                <w:sz w:val="24"/>
                <w:szCs w:val="24"/>
              </w:rPr>
              <w:t>提供厂商一年免费质保服务，可以提供设备测试。</w:t>
            </w:r>
          </w:p>
        </w:tc>
        <w:tc>
          <w:tcPr>
            <w:tcW w:w="415" w:type="pct"/>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color w:val="000000"/>
                <w:kern w:val="0"/>
                <w:sz w:val="24"/>
                <w:szCs w:val="24"/>
              </w:rPr>
              <w:t>1台</w:t>
            </w:r>
          </w:p>
        </w:tc>
        <w:tc>
          <w:tcPr>
            <w:tcW w:w="488" w:type="pct"/>
            <w:vAlign w:val="center"/>
          </w:tcPr>
          <w:p>
            <w:pPr>
              <w:spacing w:line="360" w:lineRule="auto"/>
              <w:jc w:val="center"/>
              <w:rPr>
                <w:rFonts w:ascii="宋体" w:hAnsi="宋体" w:eastAsia="宋体" w:cs="宋体"/>
                <w:bCs/>
                <w:sz w:val="24"/>
                <w:szCs w:val="24"/>
              </w:rPr>
            </w:pPr>
            <w:r>
              <w:rPr>
                <w:rFonts w:hint="eastAsia" w:ascii="宋体" w:hAnsi="宋体" w:eastAsia="宋体" w:cs="宋体"/>
                <w:bCs/>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418" w:type="pct"/>
            <w:vAlign w:val="center"/>
          </w:tcPr>
          <w:p>
            <w:pPr>
              <w:widowControl/>
              <w:spacing w:line="360" w:lineRule="auto"/>
              <w:jc w:val="center"/>
              <w:rPr>
                <w:rFonts w:ascii="宋体" w:hAnsi="宋体" w:eastAsia="宋体" w:cs="宋体"/>
                <w:sz w:val="24"/>
                <w:szCs w:val="24"/>
              </w:rPr>
            </w:pPr>
            <w:r>
              <w:rPr>
                <w:rFonts w:hint="eastAsia" w:ascii="宋体" w:hAnsi="宋体" w:eastAsia="宋体" w:cs="宋体"/>
                <w:color w:val="000000"/>
                <w:kern w:val="0"/>
                <w:sz w:val="24"/>
                <w:szCs w:val="24"/>
              </w:rPr>
              <w:t>3</w:t>
            </w:r>
          </w:p>
        </w:tc>
        <w:tc>
          <w:tcPr>
            <w:tcW w:w="546"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color w:val="000000"/>
                <w:kern w:val="0"/>
                <w:sz w:val="24"/>
                <w:szCs w:val="24"/>
              </w:rPr>
              <w:t>手持管理终端</w:t>
            </w:r>
          </w:p>
        </w:tc>
        <w:tc>
          <w:tcPr>
            <w:tcW w:w="3131"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color w:val="000000"/>
                <w:kern w:val="0"/>
                <w:sz w:val="24"/>
                <w:szCs w:val="24"/>
              </w:rPr>
              <w:t>平板电脑；CPU：不低于八核；内存容量：不小于256GB；分辨率：2388*1668dpi；屏幕尺寸：11英寸；支持专用键盘；颜色：灰色。</w:t>
            </w:r>
          </w:p>
        </w:tc>
        <w:tc>
          <w:tcPr>
            <w:tcW w:w="415" w:type="pct"/>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color w:val="000000"/>
                <w:kern w:val="0"/>
                <w:sz w:val="24"/>
                <w:szCs w:val="24"/>
              </w:rPr>
              <w:t>2台</w:t>
            </w:r>
          </w:p>
        </w:tc>
        <w:tc>
          <w:tcPr>
            <w:tcW w:w="488" w:type="pct"/>
            <w:vAlign w:val="center"/>
          </w:tcPr>
          <w:p>
            <w:pPr>
              <w:spacing w:line="360" w:lineRule="auto"/>
              <w:jc w:val="center"/>
              <w:rPr>
                <w:rFonts w:ascii="宋体" w:hAnsi="宋体" w:eastAsia="宋体" w:cs="宋体"/>
                <w:bCs/>
                <w:sz w:val="24"/>
                <w:szCs w:val="24"/>
              </w:rPr>
            </w:pPr>
            <w:r>
              <w:rPr>
                <w:rFonts w:hint="eastAsia" w:ascii="宋体" w:hAnsi="宋体" w:eastAsia="宋体" w:cs="宋体"/>
                <w:bCs/>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8" w:type="pct"/>
            <w:vAlign w:val="center"/>
          </w:tcPr>
          <w:p>
            <w:pPr>
              <w:widowControl/>
              <w:spacing w:line="360" w:lineRule="auto"/>
              <w:jc w:val="center"/>
              <w:rPr>
                <w:rFonts w:ascii="宋体" w:hAnsi="宋体" w:eastAsia="宋体" w:cs="宋体"/>
                <w:sz w:val="24"/>
                <w:szCs w:val="24"/>
              </w:rPr>
            </w:pPr>
            <w:r>
              <w:rPr>
                <w:rFonts w:hint="eastAsia" w:ascii="宋体" w:hAnsi="宋体" w:eastAsia="宋体" w:cs="宋体"/>
                <w:kern w:val="0"/>
                <w:sz w:val="24"/>
                <w:szCs w:val="24"/>
              </w:rPr>
              <w:t>4</w:t>
            </w:r>
          </w:p>
        </w:tc>
        <w:tc>
          <w:tcPr>
            <w:tcW w:w="546"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kern w:val="0"/>
                <w:sz w:val="24"/>
                <w:szCs w:val="24"/>
              </w:rPr>
              <w:t>移动计算机</w:t>
            </w:r>
          </w:p>
        </w:tc>
        <w:tc>
          <w:tcPr>
            <w:tcW w:w="3131"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kern w:val="0"/>
                <w:sz w:val="24"/>
                <w:szCs w:val="24"/>
              </w:rPr>
              <w:t>超高清屏轻薄笔记本电脑；厚度：15.1mm—18.0mm；具有指纹识别，长续航，Wi-Fi 6；屏幕尺寸：13.3英寸；屏幕刷新率：不低于60Hz；处理器：八核；内存：不小于16GB；固态硬盘（SSD）：不小于512GB；颜色：银色</w:t>
            </w:r>
          </w:p>
        </w:tc>
        <w:tc>
          <w:tcPr>
            <w:tcW w:w="415" w:type="pct"/>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kern w:val="0"/>
                <w:sz w:val="24"/>
                <w:szCs w:val="24"/>
              </w:rPr>
              <w:t>1台</w:t>
            </w:r>
          </w:p>
        </w:tc>
        <w:tc>
          <w:tcPr>
            <w:tcW w:w="488" w:type="pct"/>
            <w:vAlign w:val="center"/>
          </w:tcPr>
          <w:p>
            <w:pPr>
              <w:spacing w:line="360" w:lineRule="auto"/>
              <w:jc w:val="center"/>
              <w:rPr>
                <w:rFonts w:ascii="宋体" w:hAnsi="宋体" w:eastAsia="宋体" w:cs="宋体"/>
                <w:bCs/>
                <w:sz w:val="24"/>
                <w:szCs w:val="24"/>
              </w:rPr>
            </w:pPr>
            <w:r>
              <w:rPr>
                <w:rFonts w:hint="eastAsia" w:ascii="宋体" w:hAnsi="宋体" w:eastAsia="宋体" w:cs="宋体"/>
                <w:bCs/>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8" w:type="pct"/>
            <w:vAlign w:val="center"/>
          </w:tcPr>
          <w:p>
            <w:pPr>
              <w:widowControl/>
              <w:spacing w:line="360" w:lineRule="auto"/>
              <w:jc w:val="center"/>
              <w:rPr>
                <w:rFonts w:ascii="宋体" w:hAnsi="宋体" w:eastAsia="宋体" w:cs="宋体"/>
                <w:sz w:val="24"/>
                <w:szCs w:val="24"/>
              </w:rPr>
            </w:pPr>
            <w:r>
              <w:rPr>
                <w:rFonts w:hint="eastAsia" w:ascii="宋体" w:hAnsi="宋体" w:eastAsia="宋体" w:cs="宋体"/>
                <w:kern w:val="0"/>
                <w:sz w:val="24"/>
                <w:szCs w:val="24"/>
              </w:rPr>
              <w:t>5</w:t>
            </w:r>
          </w:p>
        </w:tc>
        <w:tc>
          <w:tcPr>
            <w:tcW w:w="546" w:type="pct"/>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配套笔记本电脑  </w:t>
            </w:r>
          </w:p>
        </w:tc>
        <w:tc>
          <w:tcPr>
            <w:tcW w:w="3131"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kern w:val="0"/>
                <w:sz w:val="24"/>
                <w:szCs w:val="24"/>
              </w:rPr>
              <w:t>分辨率：全高清屏（1920×1080）；类型：轻薄笔记本；系统：Windows 10 带Office；厚度：15.1mm—18.0mm；显卡类型：独立显卡；特性：背光键盘，指纹识别；屏幕尺寸：14.0英寸；处理器：Intel i7；内存容量：16GB；硬盘（SSD）：1TB固态；颜色：黑色</w:t>
            </w:r>
          </w:p>
        </w:tc>
        <w:tc>
          <w:tcPr>
            <w:tcW w:w="415" w:type="pct"/>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kern w:val="0"/>
                <w:sz w:val="24"/>
                <w:szCs w:val="24"/>
              </w:rPr>
              <w:t>1台</w:t>
            </w:r>
          </w:p>
        </w:tc>
        <w:tc>
          <w:tcPr>
            <w:tcW w:w="488" w:type="pct"/>
            <w:vAlign w:val="center"/>
          </w:tcPr>
          <w:p>
            <w:pPr>
              <w:spacing w:line="360" w:lineRule="auto"/>
              <w:jc w:val="center"/>
              <w:rPr>
                <w:rFonts w:ascii="宋体" w:hAnsi="宋体" w:eastAsia="宋体" w:cs="宋体"/>
                <w:bCs/>
                <w:sz w:val="24"/>
                <w:szCs w:val="24"/>
              </w:rPr>
            </w:pPr>
            <w:r>
              <w:rPr>
                <w:rFonts w:hint="eastAsia" w:ascii="宋体" w:hAnsi="宋体" w:eastAsia="宋体" w:cs="宋体"/>
                <w:bCs/>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18" w:type="pct"/>
            <w:vAlign w:val="center"/>
          </w:tcPr>
          <w:p>
            <w:pPr>
              <w:widowControl/>
              <w:spacing w:line="360" w:lineRule="auto"/>
              <w:jc w:val="center"/>
              <w:rPr>
                <w:rFonts w:ascii="宋体" w:hAnsi="宋体" w:eastAsia="宋体" w:cs="宋体"/>
                <w:sz w:val="24"/>
                <w:szCs w:val="24"/>
              </w:rPr>
            </w:pPr>
            <w:r>
              <w:rPr>
                <w:rFonts w:hint="eastAsia" w:ascii="宋体" w:hAnsi="宋体" w:eastAsia="宋体" w:cs="宋体"/>
                <w:color w:val="000000"/>
                <w:kern w:val="0"/>
                <w:sz w:val="24"/>
                <w:szCs w:val="24"/>
              </w:rPr>
              <w:t>6</w:t>
            </w:r>
          </w:p>
        </w:tc>
        <w:tc>
          <w:tcPr>
            <w:tcW w:w="546"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color w:val="000000"/>
                <w:kern w:val="0"/>
                <w:sz w:val="24"/>
                <w:szCs w:val="24"/>
              </w:rPr>
              <w:t>防潮保险柜</w:t>
            </w:r>
          </w:p>
        </w:tc>
        <w:tc>
          <w:tcPr>
            <w:tcW w:w="3131"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color w:val="000000"/>
                <w:kern w:val="0"/>
                <w:sz w:val="24"/>
                <w:szCs w:val="24"/>
              </w:rPr>
              <w:t>柜门材质：高强度6mm冷轧钢板；容积：不小于260L；开启方式：密码、指纹、钥匙和WIFI;温度范围：25%-65%；内部尺寸</w:t>
            </w:r>
            <w:r>
              <w:rPr>
                <w:rFonts w:hint="eastAsia" w:ascii="宋体" w:hAnsi="宋体" w:eastAsia="宋体" w:cs="宋体"/>
                <w:kern w:val="0"/>
                <w:sz w:val="24"/>
                <w:szCs w:val="24"/>
              </w:rPr>
              <w:t>约：</w:t>
            </w:r>
            <w:r>
              <w:rPr>
                <w:rFonts w:hint="eastAsia" w:ascii="宋体" w:hAnsi="宋体" w:eastAsia="宋体" w:cs="宋体"/>
                <w:color w:val="000000"/>
                <w:kern w:val="0"/>
                <w:sz w:val="24"/>
                <w:szCs w:val="24"/>
              </w:rPr>
              <w:t>高127cm*宽48cm*深36cm；外部尺寸</w:t>
            </w:r>
            <w:r>
              <w:rPr>
                <w:rFonts w:hint="eastAsia" w:ascii="宋体" w:hAnsi="宋体" w:eastAsia="宋体" w:cs="宋体"/>
                <w:kern w:val="0"/>
                <w:sz w:val="24"/>
                <w:szCs w:val="24"/>
              </w:rPr>
              <w:t>约:</w:t>
            </w:r>
            <w:r>
              <w:rPr>
                <w:rFonts w:hint="eastAsia" w:ascii="宋体" w:hAnsi="宋体" w:eastAsia="宋体" w:cs="宋体"/>
                <w:color w:val="000000"/>
                <w:kern w:val="0"/>
                <w:sz w:val="24"/>
                <w:szCs w:val="24"/>
              </w:rPr>
              <w:t>高134cm*宽52cm*深45cm；</w:t>
            </w:r>
          </w:p>
        </w:tc>
        <w:tc>
          <w:tcPr>
            <w:tcW w:w="415" w:type="pct"/>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color w:val="000000"/>
                <w:kern w:val="0"/>
                <w:sz w:val="24"/>
                <w:szCs w:val="24"/>
              </w:rPr>
              <w:t>1台</w:t>
            </w:r>
          </w:p>
        </w:tc>
        <w:tc>
          <w:tcPr>
            <w:tcW w:w="488" w:type="pct"/>
            <w:vAlign w:val="center"/>
          </w:tcPr>
          <w:p>
            <w:pPr>
              <w:spacing w:line="360" w:lineRule="auto"/>
              <w:jc w:val="center"/>
              <w:rPr>
                <w:rFonts w:ascii="宋体" w:hAnsi="宋体" w:eastAsia="宋体" w:cs="宋体"/>
                <w:bCs/>
                <w:sz w:val="24"/>
                <w:szCs w:val="24"/>
              </w:rPr>
            </w:pPr>
            <w:r>
              <w:rPr>
                <w:rFonts w:hint="eastAsia" w:ascii="宋体" w:hAnsi="宋体" w:eastAsia="宋体" w:cs="宋体"/>
                <w:bCs/>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8" w:type="pct"/>
            <w:vAlign w:val="center"/>
          </w:tcPr>
          <w:p>
            <w:pPr>
              <w:widowControl/>
              <w:spacing w:line="360" w:lineRule="auto"/>
              <w:jc w:val="center"/>
              <w:rPr>
                <w:rFonts w:ascii="宋体" w:hAnsi="宋体" w:eastAsia="宋体" w:cs="宋体"/>
                <w:sz w:val="24"/>
                <w:szCs w:val="24"/>
              </w:rPr>
            </w:pPr>
            <w:r>
              <w:rPr>
                <w:rFonts w:hint="eastAsia" w:ascii="宋体" w:hAnsi="宋体" w:eastAsia="宋体" w:cs="宋体"/>
                <w:kern w:val="0"/>
                <w:sz w:val="24"/>
                <w:szCs w:val="24"/>
              </w:rPr>
              <w:t>7</w:t>
            </w:r>
          </w:p>
        </w:tc>
        <w:tc>
          <w:tcPr>
            <w:tcW w:w="546"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kern w:val="0"/>
                <w:sz w:val="24"/>
                <w:szCs w:val="24"/>
              </w:rPr>
              <w:t>平板辅助管理电脑</w:t>
            </w:r>
          </w:p>
        </w:tc>
        <w:tc>
          <w:tcPr>
            <w:tcW w:w="3131"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kern w:val="0"/>
                <w:sz w:val="24"/>
                <w:szCs w:val="24"/>
              </w:rPr>
              <w:t>屏幕尺寸：10.8英寸；可扩展容量：最大支持256GB；分辨率：2560*1600dpi；类型：平板；处理器：高通骁龙870；运行内存：8GB；内存容量：256GB；CPU核心数：八核；特性：分屏应用；颜色：灰色</w:t>
            </w:r>
          </w:p>
        </w:tc>
        <w:tc>
          <w:tcPr>
            <w:tcW w:w="415" w:type="pct"/>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kern w:val="0"/>
                <w:sz w:val="24"/>
                <w:szCs w:val="24"/>
              </w:rPr>
              <w:t>2台</w:t>
            </w:r>
          </w:p>
        </w:tc>
        <w:tc>
          <w:tcPr>
            <w:tcW w:w="488" w:type="pct"/>
            <w:vAlign w:val="center"/>
          </w:tcPr>
          <w:p>
            <w:pPr>
              <w:spacing w:line="360" w:lineRule="auto"/>
              <w:jc w:val="center"/>
              <w:rPr>
                <w:rFonts w:ascii="宋体" w:hAnsi="宋体" w:eastAsia="宋体" w:cs="宋体"/>
                <w:bCs/>
                <w:sz w:val="24"/>
                <w:szCs w:val="24"/>
              </w:rPr>
            </w:pPr>
            <w:r>
              <w:rPr>
                <w:rFonts w:hint="eastAsia" w:ascii="宋体" w:hAnsi="宋体" w:eastAsia="宋体" w:cs="宋体"/>
                <w:bCs/>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8" w:type="pct"/>
            <w:vAlign w:val="center"/>
          </w:tcPr>
          <w:p>
            <w:pPr>
              <w:widowControl/>
              <w:spacing w:line="360" w:lineRule="auto"/>
              <w:jc w:val="center"/>
              <w:rPr>
                <w:rFonts w:ascii="宋体" w:hAnsi="宋体" w:eastAsia="宋体" w:cs="宋体"/>
                <w:sz w:val="24"/>
                <w:szCs w:val="24"/>
              </w:rPr>
            </w:pPr>
            <w:r>
              <w:rPr>
                <w:rFonts w:hint="eastAsia" w:ascii="宋体" w:hAnsi="宋体" w:eastAsia="宋体" w:cs="宋体"/>
                <w:color w:val="000000"/>
                <w:kern w:val="0"/>
                <w:sz w:val="24"/>
                <w:szCs w:val="24"/>
              </w:rPr>
              <w:t>8</w:t>
            </w:r>
          </w:p>
        </w:tc>
        <w:tc>
          <w:tcPr>
            <w:tcW w:w="546" w:type="pct"/>
            <w:vAlign w:val="center"/>
          </w:tcPr>
          <w:p>
            <w:pPr>
              <w:widowControl/>
              <w:spacing w:line="360" w:lineRule="auto"/>
              <w:jc w:val="left"/>
              <w:rPr>
                <w:rFonts w:ascii="宋体" w:hAnsi="宋体" w:eastAsia="宋体" w:cs="宋体"/>
                <w:bCs/>
                <w:sz w:val="24"/>
                <w:szCs w:val="24"/>
              </w:rPr>
            </w:pPr>
            <w:r>
              <w:rPr>
                <w:rFonts w:hint="eastAsia" w:ascii="宋体" w:hAnsi="宋体" w:eastAsia="宋体" w:cs="宋体"/>
                <w:color w:val="000000"/>
                <w:kern w:val="0"/>
                <w:sz w:val="24"/>
                <w:szCs w:val="24"/>
              </w:rPr>
              <w:t>配套辅材</w:t>
            </w:r>
          </w:p>
        </w:tc>
        <w:tc>
          <w:tcPr>
            <w:tcW w:w="3131" w:type="pct"/>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一、模块4个，技术要求: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1、采用阻燃、抗冲击、耐腐蚀材料制作，阻燃级别达到 UL-CMR 级，具有 90 度和180 度端接方式；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2、符合 TIA/EIA568 和 ISO/IEC11801 六类标准；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3、RJ45 端口金针：磷青铜、50μ镀金，端接达 250 次，可插拔次数≥1500 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4、为实现线缆快速连接，模块两侧有T568A、T568B 两种标准打线标记，方便快速完成端接，可接受 22-26 线规的电缆；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5、独特的 PCB 线路板线对平衡设计，通过余量高；</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6、具有线缆保护盖，维持线缆的垂直进线方式和防止灰尘，具有卡线功能；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7、弧形金针设计，提升近端串音余量；</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w:t>
            </w:r>
            <w:r>
              <w:rPr>
                <w:rFonts w:hint="eastAsia" w:ascii="宋体" w:hAnsi="宋体" w:eastAsia="宋体" w:cs="宋体"/>
                <w:b/>
                <w:bCs/>
                <w:kern w:val="0"/>
                <w:sz w:val="24"/>
                <w:szCs w:val="24"/>
              </w:rPr>
              <w:t>响应文件中提供第三方有权机构出具的永久链路和信道链路检验报告扫描件</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二、面板2个，技术要求：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1、86 型双口面板采用阻燃、耐腐蚀、ABS工程塑料与RJ45模块和RJ11模块配套使用；</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2、防火等级附合 UL 认证标准；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3、面板上自带防尘盖；面板带有标签标识功能；面板后面具有 RJ45 配套卡槽；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4、光面设计，增加与强电面板的匹配性；避免固定螺丝孔外露；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三、2米网络跳线6根，技术要求：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1、六类跳线符合 UL Subject444，ETA/TIA568B.2-1&amp;ISO/IEC11801，IEC61163 标准的要求；采用多股软铜绞合线，100%测试，确保线缆具有高标准的电气性能稳定；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2、插拔次数≥1500 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3、跳线具有注塑式尾套，防松脱，确保电缆和插头的可靠性和链接稳定性，采用50μ镀金三叉 RJ45 插头，确保镀金簧片与导体可靠接触；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4、跳线缆材上具有清晰的米标和类型印字；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5、水晶头采用组合式设计，内置穿线过渡件，确保电缆导线在水晶头内部接纽最小，有效提高跳线的串扰余量；可提供高达 350MHz 的带宽；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6、可提供不同颜色和长度选择；</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w:t>
            </w:r>
            <w:r>
              <w:rPr>
                <w:rFonts w:hint="eastAsia" w:ascii="宋体" w:hAnsi="宋体" w:eastAsia="宋体" w:cs="宋体"/>
                <w:b/>
                <w:bCs/>
                <w:kern w:val="0"/>
                <w:sz w:val="24"/>
                <w:szCs w:val="24"/>
              </w:rPr>
              <w:t>投标文件中提供第三方有权机构出具的六类非屏蔽信道检测报告和 UTP 六类标准跳线检测报告扫描件</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四：监控设备1台</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1、采用工业级嵌入式架构，采用专用芯片和嵌入式操作系统，稳定可靠；</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2、采用不小于1/2.8英寸高性能200万像素传感器，可根据具体应用环境选择2.8mm、3.6mm、6mm、8mm定焦镜头；</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3、支持H.265、H.264、MJPEG视频编码；</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4、★音频编码格式支持ADPCM、G.711a/u、G.722、AAC_LC标准</w:t>
            </w:r>
            <w:r>
              <w:rPr>
                <w:rFonts w:hint="eastAsia" w:ascii="宋体" w:hAnsi="宋体" w:eastAsia="宋体" w:cs="宋体"/>
                <w:b/>
                <w:bCs/>
                <w:kern w:val="0"/>
                <w:sz w:val="24"/>
                <w:szCs w:val="24"/>
              </w:rPr>
              <w:t>（投标文件中提供第三方有权机构检测报告扫描件）</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5、支持32Kbps～16Mbps视频码率；</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6、最大支持分辨率1920×1080，1-60fps可调；</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7、★最低照度不高于0.0005Lux(彩色)，0.0001Lux(黑白)</w:t>
            </w:r>
            <w:r>
              <w:rPr>
                <w:rFonts w:hint="eastAsia" w:ascii="宋体" w:hAnsi="宋体" w:eastAsia="宋体" w:cs="宋体"/>
                <w:b/>
                <w:bCs/>
                <w:kern w:val="0"/>
                <w:sz w:val="24"/>
                <w:szCs w:val="24"/>
              </w:rPr>
              <w:t>（投标文件中提供第三方有权机构检测报告扫描件）</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8、图像信噪比≥57dB，分辨力≥1000TVL，亮度等级≥11级，图像延时≤150ms；</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9、★当环境照度低于一定值时，通过红外灯照射，可基本分辨距离80米处所摄目标的轮廓和状态</w:t>
            </w:r>
            <w:r>
              <w:rPr>
                <w:rFonts w:hint="eastAsia" w:ascii="宋体" w:hAnsi="宋体" w:eastAsia="宋体" w:cs="宋体"/>
                <w:b/>
                <w:bCs/>
                <w:kern w:val="0"/>
                <w:sz w:val="24"/>
                <w:szCs w:val="24"/>
              </w:rPr>
              <w:t>（投标文件中提供第三方有权机构检测报告扫描件）</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10、★支持AEC回声抵消、混音录像功能</w:t>
            </w:r>
            <w:r>
              <w:rPr>
                <w:rFonts w:hint="eastAsia" w:ascii="宋体" w:hAnsi="宋体" w:eastAsia="宋体" w:cs="宋体"/>
                <w:b/>
                <w:bCs/>
                <w:kern w:val="0"/>
                <w:sz w:val="24"/>
                <w:szCs w:val="24"/>
              </w:rPr>
              <w:t>（投标文件中提供第三方有权机构检测报告扫描件）</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11、支持强光抑制、智能红外、宽动态、透雾、区域增强编码、走廊模式</w:t>
            </w:r>
            <w:r>
              <w:rPr>
                <w:rFonts w:hint="eastAsia" w:ascii="宋体" w:hAnsi="宋体" w:eastAsia="宋体" w:cs="宋体"/>
                <w:b/>
                <w:bCs/>
                <w:kern w:val="0"/>
                <w:sz w:val="24"/>
                <w:szCs w:val="24"/>
              </w:rPr>
              <w:t>（投标文件中提供第三方有权机构检测报告扫描件）</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12、★支持多路访问功能，可同时提供至少25路1080P图像以提供浏览</w:t>
            </w:r>
            <w:r>
              <w:rPr>
                <w:rFonts w:hint="eastAsia" w:ascii="宋体" w:hAnsi="宋体" w:eastAsia="宋体" w:cs="宋体"/>
                <w:b/>
                <w:bCs/>
                <w:kern w:val="0"/>
                <w:sz w:val="24"/>
                <w:szCs w:val="24"/>
              </w:rPr>
              <w:t>（投标文件中提供第三方有权机构检测报告扫描件）</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13、具备1×RJ45、1×内置MIC；</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14、支持隐私遮盖功能，遮盖区域不小于24个，大小、方向、颜色可调整</w:t>
            </w:r>
            <w:r>
              <w:rPr>
                <w:rFonts w:hint="eastAsia" w:ascii="宋体" w:hAnsi="宋体" w:eastAsia="宋体" w:cs="宋体"/>
                <w:b/>
                <w:bCs/>
                <w:kern w:val="0"/>
                <w:sz w:val="24"/>
                <w:szCs w:val="24"/>
              </w:rPr>
              <w:t>（投标文件中提供第三方有权机构检测报告扫描件）</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15、★支持视频遮挡、警戒线穿越、虚焦检测、场景变更、物品遗留/拿取、区域入侵/离开、人员聚集、声音异常等视频分析功能</w:t>
            </w:r>
            <w:r>
              <w:rPr>
                <w:rFonts w:hint="eastAsia" w:ascii="宋体" w:hAnsi="宋体" w:eastAsia="宋体" w:cs="宋体"/>
                <w:b/>
                <w:bCs/>
                <w:kern w:val="0"/>
                <w:sz w:val="24"/>
                <w:szCs w:val="24"/>
              </w:rPr>
              <w:t>（投标文件中提供第三方有权机构检测报告扫描件）</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16、支持35%的电压波动；</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17、工作温度:-40℃~+70℃，防护等级：IP67；</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18、</w:t>
            </w:r>
            <w:r>
              <w:rPr>
                <w:rFonts w:hint="eastAsia" w:ascii="宋体" w:hAnsi="宋体" w:eastAsia="宋体" w:cs="宋体"/>
                <w:b/>
                <w:bCs/>
                <w:kern w:val="0"/>
                <w:sz w:val="24"/>
                <w:szCs w:val="24"/>
              </w:rPr>
              <w:t>响应文件中提供第三方有权机构出具的检测报告扫描件；</w:t>
            </w:r>
          </w:p>
          <w:p>
            <w:pPr>
              <w:widowControl/>
              <w:spacing w:line="360" w:lineRule="auto"/>
              <w:jc w:val="left"/>
              <w:rPr>
                <w:rFonts w:ascii="宋体" w:hAnsi="宋体" w:eastAsia="宋体" w:cs="宋体"/>
                <w:bCs/>
                <w:sz w:val="24"/>
                <w:szCs w:val="24"/>
              </w:rPr>
            </w:pPr>
            <w:r>
              <w:rPr>
                <w:rFonts w:hint="eastAsia" w:ascii="宋体" w:hAnsi="宋体" w:eastAsia="宋体" w:cs="宋体"/>
                <w:kern w:val="0"/>
                <w:sz w:val="24"/>
                <w:szCs w:val="24"/>
              </w:rPr>
              <w:t>19、包含安装支架和电源。</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五：安装调试及其他辅材辅料需符合国标要求。</w:t>
            </w:r>
          </w:p>
        </w:tc>
        <w:tc>
          <w:tcPr>
            <w:tcW w:w="415" w:type="pct"/>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color w:val="000000"/>
                <w:kern w:val="0"/>
                <w:sz w:val="24"/>
                <w:szCs w:val="24"/>
              </w:rPr>
              <w:t>1项</w:t>
            </w:r>
          </w:p>
        </w:tc>
        <w:tc>
          <w:tcPr>
            <w:tcW w:w="488" w:type="pct"/>
            <w:vAlign w:val="center"/>
          </w:tcPr>
          <w:p>
            <w:pPr>
              <w:spacing w:line="360" w:lineRule="auto"/>
              <w:jc w:val="center"/>
              <w:rPr>
                <w:rFonts w:ascii="宋体" w:hAnsi="宋体" w:eastAsia="宋体" w:cs="宋体"/>
                <w:bCs/>
                <w:sz w:val="24"/>
                <w:szCs w:val="24"/>
              </w:rPr>
            </w:pPr>
            <w:r>
              <w:rPr>
                <w:rFonts w:hint="eastAsia" w:ascii="宋体" w:hAnsi="宋体" w:eastAsia="宋体" w:cs="宋体"/>
                <w:bCs/>
                <w:sz w:val="24"/>
                <w:szCs w:val="24"/>
              </w:rPr>
              <w:t>/</w:t>
            </w:r>
          </w:p>
        </w:tc>
      </w:tr>
    </w:tbl>
    <w:p>
      <w:pPr>
        <w:spacing w:line="360" w:lineRule="auto"/>
        <w:ind w:firstLine="437"/>
        <w:rPr>
          <w:rFonts w:ascii="宋体" w:hAnsi="宋体" w:eastAsia="宋体"/>
          <w:b/>
          <w:bCs/>
          <w:sz w:val="24"/>
          <w:szCs w:val="18"/>
        </w:rPr>
      </w:pPr>
      <w:r>
        <w:rPr>
          <w:rFonts w:hint="eastAsia" w:ascii="宋体" w:hAnsi="宋体" w:eastAsia="宋体"/>
          <w:b/>
          <w:bCs/>
          <w:sz w:val="24"/>
          <w:szCs w:val="18"/>
        </w:rPr>
        <w:t>三、报价要求</w:t>
      </w:r>
    </w:p>
    <w:p>
      <w:pPr>
        <w:spacing w:line="360" w:lineRule="auto"/>
        <w:ind w:firstLine="437"/>
        <w:rPr>
          <w:rFonts w:ascii="宋体" w:hAnsi="宋体" w:eastAsia="宋体"/>
          <w:b/>
          <w:bCs/>
          <w:sz w:val="24"/>
          <w:szCs w:val="18"/>
        </w:rPr>
      </w:pPr>
      <w:r>
        <w:rPr>
          <w:rFonts w:hint="eastAsia" w:ascii="宋体" w:hAnsi="宋体" w:eastAsia="宋体"/>
          <w:b/>
          <w:bCs/>
          <w:sz w:val="24"/>
          <w:szCs w:val="18"/>
        </w:rPr>
        <w:t>本项目报总价，供应商的报价包含但不限于材料、安装、运输劳务、利润、税金、政策性文件规定及合同包含的所有风险、责任、义务等，即为完成谈判文件要求的供货内容所包含的一切应有费用，成交价一次性包死，采购人后期不再追加费用，供应商自行考虑风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5BA1B"/>
    <w:multiLevelType w:val="singleLevel"/>
    <w:tmpl w:val="8155BA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5F3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D&amp;L"/>
    <w:basedOn w:val="2"/>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6">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2021-10-12T06:37:26Z</dcterms:created>
  <dc:creator>user01</dc:creator>
  <cp:lastModifiedBy>user01</cp:lastModifiedBy>
  <dcterms:modified xsi:type="dcterms:W3CDTF">2021-10-12T06:38:23Z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